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E84F0" w14:textId="5B341396" w:rsidR="002E1C02" w:rsidRPr="003D13EF" w:rsidRDefault="004D7607">
      <w:pPr>
        <w:spacing w:after="0" w:line="259" w:lineRule="auto"/>
        <w:ind w:left="-5" w:hanging="10"/>
        <w:rPr>
          <w:rFonts w:ascii="Franklin Gothic Demi Cond" w:hAnsi="Franklin Gothic Demi Cond"/>
        </w:rPr>
      </w:pPr>
      <w:r w:rsidRPr="003D13EF">
        <w:rPr>
          <w:rFonts w:ascii="Franklin Gothic Demi Cond" w:eastAsia="Franklin Gothic" w:hAnsi="Franklin Gothic Demi Cond" w:cs="Franklin Gothic"/>
          <w:sz w:val="52"/>
        </w:rPr>
        <w:t xml:space="preserve">Chapter </w:t>
      </w:r>
      <w:r w:rsidR="00635233">
        <w:rPr>
          <w:rFonts w:ascii="Franklin Gothic Demi Cond" w:eastAsia="Franklin Gothic" w:hAnsi="Franklin Gothic Demi Cond" w:cs="Franklin Gothic"/>
          <w:sz w:val="52"/>
        </w:rPr>
        <w:t>6</w:t>
      </w:r>
      <w:r w:rsidRPr="003D13EF">
        <w:rPr>
          <w:rFonts w:ascii="Franklin Gothic Demi Cond" w:eastAsia="Franklin Gothic" w:hAnsi="Franklin Gothic Demi Cond" w:cs="Franklin Gothic"/>
          <w:sz w:val="52"/>
        </w:rPr>
        <w:t xml:space="preserve">: </w:t>
      </w:r>
    </w:p>
    <w:p w14:paraId="4B4ED86F" w14:textId="3EACE00D" w:rsidR="002E1C02" w:rsidRPr="003D13EF" w:rsidRDefault="00635233">
      <w:pPr>
        <w:spacing w:after="0" w:line="259" w:lineRule="auto"/>
        <w:ind w:left="-5" w:hanging="10"/>
        <w:rPr>
          <w:rFonts w:ascii="Franklin Gothic Demi Cond" w:hAnsi="Franklin Gothic Demi Cond"/>
        </w:rPr>
      </w:pPr>
      <w:r>
        <w:rPr>
          <w:rFonts w:ascii="Franklin Gothic Demi Cond" w:eastAsia="Franklin Gothic" w:hAnsi="Franklin Gothic Demi Cond" w:cs="Franklin Gothic"/>
          <w:sz w:val="52"/>
        </w:rPr>
        <w:t>Health</w:t>
      </w:r>
      <w:r w:rsidR="004D7607" w:rsidRPr="003D13EF">
        <w:rPr>
          <w:rFonts w:ascii="Franklin Gothic Demi Cond" w:eastAsia="Franklin Gothic" w:hAnsi="Franklin Gothic Demi Cond" w:cs="Franklin Gothic"/>
          <w:sz w:val="52"/>
        </w:rPr>
        <w:t xml:space="preserve"> Services </w:t>
      </w:r>
    </w:p>
    <w:p w14:paraId="2AD1EDB9" w14:textId="77777777" w:rsidR="002E1C02" w:rsidRDefault="004D7607">
      <w:pPr>
        <w:spacing w:after="389" w:line="259" w:lineRule="auto"/>
        <w:ind w:left="-29" w:right="-39" w:firstLine="0"/>
      </w:pPr>
      <w:r>
        <w:rPr>
          <w:rFonts w:ascii="Calibri" w:eastAsia="Calibri" w:hAnsi="Calibri" w:cs="Calibri"/>
          <w:noProof/>
          <w:sz w:val="22"/>
        </w:rPr>
        <mc:AlternateContent>
          <mc:Choice Requires="wpg">
            <w:drawing>
              <wp:inline distT="0" distB="0" distL="0" distR="0" wp14:anchorId="4109305C" wp14:editId="18910421">
                <wp:extent cx="5980176" cy="12192"/>
                <wp:effectExtent l="0" t="0" r="0" b="0"/>
                <wp:docPr id="2897" name="Group 2897"/>
                <wp:cNvGraphicFramePr/>
                <a:graphic xmlns:a="http://schemas.openxmlformats.org/drawingml/2006/main">
                  <a:graphicData uri="http://schemas.microsoft.com/office/word/2010/wordprocessingGroup">
                    <wpg:wgp>
                      <wpg:cNvGrpSpPr/>
                      <wpg:grpSpPr>
                        <a:xfrm>
                          <a:off x="0" y="0"/>
                          <a:ext cx="5980176" cy="12192"/>
                          <a:chOff x="0" y="0"/>
                          <a:chExt cx="5980176" cy="12192"/>
                        </a:xfrm>
                      </wpg:grpSpPr>
                      <wps:wsp>
                        <wps:cNvPr id="3125" name="Shape 3125"/>
                        <wps:cNvSpPr/>
                        <wps:spPr>
                          <a:xfrm>
                            <a:off x="0" y="0"/>
                            <a:ext cx="5980176" cy="12192"/>
                          </a:xfrm>
                          <a:custGeom>
                            <a:avLst/>
                            <a:gdLst/>
                            <a:ahLst/>
                            <a:cxnLst/>
                            <a:rect l="0" t="0" r="0" b="0"/>
                            <a:pathLst>
                              <a:path w="5980176" h="12192">
                                <a:moveTo>
                                  <a:pt x="0" y="0"/>
                                </a:moveTo>
                                <a:lnTo>
                                  <a:pt x="5980176" y="0"/>
                                </a:lnTo>
                                <a:lnTo>
                                  <a:pt x="5980176" y="12192"/>
                                </a:lnTo>
                                <a:lnTo>
                                  <a:pt x="0" y="12192"/>
                                </a:lnTo>
                                <a:lnTo>
                                  <a:pt x="0" y="0"/>
                                </a:lnTo>
                              </a:path>
                            </a:pathLst>
                          </a:custGeom>
                          <a:ln w="0" cap="flat">
                            <a:miter lim="127000"/>
                          </a:ln>
                        </wps:spPr>
                        <wps:style>
                          <a:lnRef idx="0">
                            <a:srgbClr val="000000">
                              <a:alpha val="0"/>
                            </a:srgbClr>
                          </a:lnRef>
                          <a:fillRef idx="1">
                            <a:srgbClr val="DEDEDF"/>
                          </a:fillRef>
                          <a:effectRef idx="0">
                            <a:scrgbClr r="0" g="0" b="0"/>
                          </a:effectRef>
                          <a:fontRef idx="none"/>
                        </wps:style>
                        <wps:bodyPr/>
                      </wps:wsp>
                    </wpg:wgp>
                  </a:graphicData>
                </a:graphic>
              </wp:inline>
            </w:drawing>
          </mc:Choice>
          <mc:Fallback xmlns:a="http://schemas.openxmlformats.org/drawingml/2006/main">
            <w:pict>
              <v:group id="Group 2897" style="width:470.88pt;height:0.960022pt;mso-position-horizontal-relative:char;mso-position-vertical-relative:line" coordsize="59801,121">
                <v:shape id="Shape 3126" style="position:absolute;width:59801;height:121;left:0;top:0;" coordsize="5980176,12192" path="m0,0l5980176,0l5980176,12192l0,12192l0,0">
                  <v:stroke weight="0pt" endcap="flat" joinstyle="miter" miterlimit="10" on="false" color="#000000" opacity="0"/>
                  <v:fill on="true" color="#dededf"/>
                </v:shape>
              </v:group>
            </w:pict>
          </mc:Fallback>
        </mc:AlternateContent>
      </w:r>
    </w:p>
    <w:p w14:paraId="52998C0D" w14:textId="76F68DDF" w:rsidR="002E1C02" w:rsidRPr="003D13EF" w:rsidRDefault="004D7607">
      <w:pPr>
        <w:spacing w:after="7"/>
        <w:ind w:left="-15" w:right="22" w:firstLine="0"/>
      </w:pPr>
      <w:r w:rsidRPr="003D13EF">
        <w:t xml:space="preserve">Vermont Division </w:t>
      </w:r>
      <w:r w:rsidR="007E13F1" w:rsidRPr="003D13EF">
        <w:t>for the Blind and Visually Impaired</w:t>
      </w:r>
      <w:r w:rsidRPr="003D13EF">
        <w:t xml:space="preserve"> </w:t>
      </w:r>
    </w:p>
    <w:p w14:paraId="679EB140" w14:textId="77777777" w:rsidR="002E1C02" w:rsidRPr="003D13EF" w:rsidRDefault="004D7607">
      <w:pPr>
        <w:spacing w:after="225"/>
        <w:ind w:left="-15" w:right="22" w:firstLine="0"/>
      </w:pPr>
      <w:r w:rsidRPr="003D13EF">
        <w:t xml:space="preserve">Policy and Procedures Manual </w:t>
      </w:r>
    </w:p>
    <w:p w14:paraId="4E02DEFB" w14:textId="79D376D2" w:rsidR="002E1C02" w:rsidRPr="003D13EF" w:rsidRDefault="004D7607">
      <w:pPr>
        <w:spacing w:after="347"/>
        <w:ind w:left="-15" w:right="22" w:firstLine="0"/>
      </w:pPr>
      <w:r w:rsidRPr="003D13EF">
        <w:t xml:space="preserve">Revision Date: </w:t>
      </w:r>
      <w:r w:rsidR="00102C98">
        <w:t xml:space="preserve"> </w:t>
      </w:r>
      <w:r w:rsidR="00635233">
        <w:t>June 2020</w:t>
      </w:r>
      <w:r w:rsidRPr="003D13EF">
        <w:t xml:space="preserve">  </w:t>
      </w:r>
    </w:p>
    <w:p w14:paraId="5F313140" w14:textId="77777777" w:rsidR="002E1C02" w:rsidRPr="007D7FF3" w:rsidRDefault="004D7607">
      <w:pPr>
        <w:spacing w:after="150" w:line="259" w:lineRule="auto"/>
        <w:ind w:left="0" w:firstLine="0"/>
        <w:rPr>
          <w:rFonts w:ascii="Franklin Gothic Demi" w:hAnsi="Franklin Gothic Demi"/>
        </w:rPr>
      </w:pPr>
      <w:r w:rsidRPr="007D7FF3">
        <w:rPr>
          <w:rFonts w:ascii="Franklin Gothic Demi" w:eastAsia="Franklin Gothic" w:hAnsi="Franklin Gothic Demi" w:cs="Franklin Gothic"/>
        </w:rPr>
        <w:t xml:space="preserve">Table of Contents </w:t>
      </w:r>
    </w:p>
    <w:p w14:paraId="7D3B5DEE" w14:textId="77669873" w:rsidR="002E1C02" w:rsidRPr="003D13EF" w:rsidRDefault="004D7607">
      <w:pPr>
        <w:tabs>
          <w:tab w:val="right" w:pos="9349"/>
        </w:tabs>
        <w:spacing w:after="159" w:line="259" w:lineRule="auto"/>
        <w:ind w:left="-22" w:right="-15" w:firstLine="0"/>
        <w:rPr>
          <w:rFonts w:ascii="Franklin Gothic Medium" w:hAnsi="Franklin Gothic Medium"/>
        </w:rPr>
      </w:pPr>
      <w:r>
        <w:rPr>
          <w:noProof/>
        </w:rPr>
        <w:drawing>
          <wp:inline distT="0" distB="0" distL="0" distR="0" wp14:anchorId="0E581D24" wp14:editId="65629590">
            <wp:extent cx="600456" cy="112776"/>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8"/>
                    <a:stretch>
                      <a:fillRect/>
                    </a:stretch>
                  </pic:blipFill>
                  <pic:spPr>
                    <a:xfrm>
                      <a:off x="0" y="0"/>
                      <a:ext cx="600456" cy="112776"/>
                    </a:xfrm>
                    <a:prstGeom prst="rect">
                      <a:avLst/>
                    </a:prstGeom>
                  </pic:spPr>
                </pic:pic>
              </a:graphicData>
            </a:graphic>
          </wp:inline>
        </w:drawing>
      </w:r>
      <w:r>
        <w:rPr>
          <w:rFonts w:ascii="Calibri" w:eastAsia="Calibri" w:hAnsi="Calibri" w:cs="Calibri"/>
          <w:sz w:val="22"/>
        </w:rPr>
        <w:t xml:space="preserve"> </w:t>
      </w:r>
      <w:r>
        <w:rPr>
          <w:rFonts w:ascii="Calibri" w:eastAsia="Calibri" w:hAnsi="Calibri" w:cs="Calibri"/>
          <w:sz w:val="22"/>
        </w:rPr>
        <w:tab/>
      </w:r>
      <w:r w:rsidRPr="003D13EF">
        <w:rPr>
          <w:rFonts w:ascii="Franklin Gothic Medium" w:eastAsia="Franklin Gothic" w:hAnsi="Franklin Gothic Medium" w:cs="Franklin Gothic"/>
        </w:rPr>
        <w:t>Definitions .........</w:t>
      </w:r>
      <w:r w:rsidR="002262B4" w:rsidRPr="003D13EF">
        <w:rPr>
          <w:rFonts w:ascii="Franklin Gothic Medium" w:eastAsia="Franklin Gothic" w:hAnsi="Franklin Gothic Medium" w:cs="Franklin Gothic"/>
        </w:rPr>
        <w:t>.......</w:t>
      </w:r>
      <w:r w:rsidRPr="003D13EF">
        <w:rPr>
          <w:rFonts w:ascii="Franklin Gothic Medium" w:eastAsia="Franklin Gothic" w:hAnsi="Franklin Gothic Medium" w:cs="Franklin Gothic"/>
        </w:rPr>
        <w:t>.....</w:t>
      </w:r>
      <w:r w:rsidR="002262B4" w:rsidRPr="003D13EF">
        <w:rPr>
          <w:rFonts w:ascii="Franklin Gothic Medium" w:eastAsia="Franklin Gothic" w:hAnsi="Franklin Gothic Medium" w:cs="Franklin Gothic"/>
        </w:rPr>
        <w:t>..</w:t>
      </w:r>
      <w:r w:rsidRPr="003D13EF">
        <w:rPr>
          <w:rFonts w:ascii="Franklin Gothic Medium" w:eastAsia="Franklin Gothic" w:hAnsi="Franklin Gothic Medium" w:cs="Franklin Gothic"/>
        </w:rPr>
        <w:t>.........................................................................................</w:t>
      </w:r>
      <w:r w:rsidR="00A277BE" w:rsidRPr="003D13EF">
        <w:rPr>
          <w:rFonts w:ascii="Franklin Gothic Medium" w:eastAsia="Franklin Gothic" w:hAnsi="Franklin Gothic Medium" w:cs="Franklin Gothic"/>
        </w:rPr>
        <w:t xml:space="preserve">.  </w:t>
      </w:r>
      <w:r w:rsidR="00A74C10">
        <w:rPr>
          <w:rFonts w:ascii="Franklin Gothic Medium" w:eastAsia="Franklin Gothic" w:hAnsi="Franklin Gothic Medium" w:cs="Franklin Gothic"/>
        </w:rPr>
        <w:t>2</w:t>
      </w:r>
      <w:r w:rsidRPr="003D13EF">
        <w:rPr>
          <w:rFonts w:ascii="Franklin Gothic Medium" w:eastAsia="Calibri" w:hAnsi="Franklin Gothic Medium" w:cs="Calibri"/>
          <w:sz w:val="22"/>
        </w:rPr>
        <w:t xml:space="preserve"> </w:t>
      </w:r>
    </w:p>
    <w:p w14:paraId="698F7310" w14:textId="54E74A97" w:rsidR="002E1C02" w:rsidRPr="003D13EF" w:rsidRDefault="004D7607">
      <w:pPr>
        <w:tabs>
          <w:tab w:val="right" w:pos="9349"/>
        </w:tabs>
        <w:spacing w:after="159" w:line="259" w:lineRule="auto"/>
        <w:ind w:left="-22" w:right="-15" w:firstLine="0"/>
        <w:rPr>
          <w:rFonts w:ascii="Franklin Gothic Medium" w:hAnsi="Franklin Gothic Medium"/>
        </w:rPr>
      </w:pPr>
      <w:r w:rsidRPr="003D13EF">
        <w:rPr>
          <w:rFonts w:ascii="Franklin Gothic Medium" w:hAnsi="Franklin Gothic Medium"/>
          <w:noProof/>
        </w:rPr>
        <w:drawing>
          <wp:inline distT="0" distB="0" distL="0" distR="0" wp14:anchorId="1210AAF4" wp14:editId="247B0CDD">
            <wp:extent cx="641604" cy="112776"/>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9"/>
                    <a:stretch>
                      <a:fillRect/>
                    </a:stretch>
                  </pic:blipFill>
                  <pic:spPr>
                    <a:xfrm>
                      <a:off x="0" y="0"/>
                      <a:ext cx="641604" cy="112776"/>
                    </a:xfrm>
                    <a:prstGeom prst="rect">
                      <a:avLst/>
                    </a:prstGeom>
                  </pic:spPr>
                </pic:pic>
              </a:graphicData>
            </a:graphic>
          </wp:inline>
        </w:drawing>
      </w:r>
      <w:r w:rsidRPr="003D13EF">
        <w:rPr>
          <w:rFonts w:ascii="Franklin Gothic Medium" w:eastAsia="Calibri" w:hAnsi="Franklin Gothic Medium" w:cs="Calibri"/>
          <w:sz w:val="22"/>
        </w:rPr>
        <w:t xml:space="preserve"> </w:t>
      </w:r>
      <w:r w:rsidRPr="003D13EF">
        <w:rPr>
          <w:rFonts w:ascii="Franklin Gothic Medium" w:eastAsia="Calibri" w:hAnsi="Franklin Gothic Medium" w:cs="Calibri"/>
          <w:sz w:val="22"/>
        </w:rPr>
        <w:tab/>
      </w:r>
      <w:r w:rsidRPr="003D13EF">
        <w:rPr>
          <w:rFonts w:ascii="Franklin Gothic Medium" w:eastAsia="Franklin Gothic" w:hAnsi="Franklin Gothic Medium" w:cs="Franklin Gothic"/>
        </w:rPr>
        <w:t xml:space="preserve"> </w:t>
      </w:r>
      <w:r w:rsidR="00A14FCD">
        <w:rPr>
          <w:rFonts w:ascii="Franklin Gothic Medium" w:eastAsia="Franklin Gothic" w:hAnsi="Franklin Gothic Medium" w:cs="Franklin Gothic"/>
        </w:rPr>
        <w:t xml:space="preserve">General </w:t>
      </w:r>
      <w:r w:rsidRPr="003D13EF">
        <w:rPr>
          <w:rFonts w:ascii="Franklin Gothic Medium" w:eastAsia="Franklin Gothic" w:hAnsi="Franklin Gothic Medium" w:cs="Franklin Gothic"/>
        </w:rPr>
        <w:t xml:space="preserve">Guidance </w:t>
      </w:r>
      <w:r w:rsidR="002262B4" w:rsidRPr="003D13EF">
        <w:rPr>
          <w:rFonts w:ascii="Franklin Gothic Medium" w:eastAsia="Franklin Gothic" w:hAnsi="Franklin Gothic Medium" w:cs="Franklin Gothic"/>
        </w:rPr>
        <w:t>…</w:t>
      </w:r>
      <w:r w:rsidRPr="003D13EF">
        <w:rPr>
          <w:rFonts w:ascii="Franklin Gothic Medium" w:eastAsia="Franklin Gothic" w:hAnsi="Franklin Gothic Medium" w:cs="Franklin Gothic"/>
        </w:rPr>
        <w:t>............................</w:t>
      </w:r>
      <w:r w:rsidR="00A14FCD">
        <w:rPr>
          <w:rFonts w:ascii="Franklin Gothic Medium" w:eastAsia="Franklin Gothic" w:hAnsi="Franklin Gothic Medium" w:cs="Franklin Gothic"/>
        </w:rPr>
        <w:t>..............</w:t>
      </w:r>
      <w:r w:rsidRPr="003D13EF">
        <w:rPr>
          <w:rFonts w:ascii="Franklin Gothic Medium" w:eastAsia="Franklin Gothic" w:hAnsi="Franklin Gothic Medium" w:cs="Franklin Gothic"/>
        </w:rPr>
        <w:t>......................................................</w:t>
      </w:r>
      <w:r w:rsidR="00A277BE" w:rsidRPr="003D13EF">
        <w:rPr>
          <w:rFonts w:ascii="Franklin Gothic Medium" w:eastAsia="Franklin Gothic" w:hAnsi="Franklin Gothic Medium" w:cs="Franklin Gothic"/>
        </w:rPr>
        <w:t xml:space="preserve">.  </w:t>
      </w:r>
      <w:r w:rsidRPr="003D13EF">
        <w:rPr>
          <w:rFonts w:ascii="Franklin Gothic Medium" w:eastAsia="Franklin Gothic" w:hAnsi="Franklin Gothic Medium" w:cs="Franklin Gothic"/>
        </w:rPr>
        <w:t>2</w:t>
      </w:r>
      <w:r w:rsidRPr="003D13EF">
        <w:rPr>
          <w:rFonts w:ascii="Franklin Gothic Medium" w:eastAsia="Calibri" w:hAnsi="Franklin Gothic Medium" w:cs="Calibri"/>
          <w:sz w:val="22"/>
        </w:rPr>
        <w:t xml:space="preserve"> </w:t>
      </w:r>
    </w:p>
    <w:p w14:paraId="3F3E138A" w14:textId="5608E946" w:rsidR="002E1C02" w:rsidRPr="003D13EF" w:rsidRDefault="004D7607">
      <w:pPr>
        <w:tabs>
          <w:tab w:val="right" w:pos="9349"/>
        </w:tabs>
        <w:spacing w:after="159" w:line="259" w:lineRule="auto"/>
        <w:ind w:left="-22" w:right="-15" w:firstLine="0"/>
        <w:rPr>
          <w:rFonts w:ascii="Franklin Gothic Medium" w:hAnsi="Franklin Gothic Medium"/>
        </w:rPr>
      </w:pPr>
      <w:r w:rsidRPr="003D13EF">
        <w:rPr>
          <w:rFonts w:ascii="Franklin Gothic Medium" w:hAnsi="Franklin Gothic Medium"/>
          <w:noProof/>
        </w:rPr>
        <w:drawing>
          <wp:inline distT="0" distB="0" distL="0" distR="0" wp14:anchorId="1FA932EF" wp14:editId="3913BA97">
            <wp:extent cx="682752" cy="112776"/>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0"/>
                    <a:stretch>
                      <a:fillRect/>
                    </a:stretch>
                  </pic:blipFill>
                  <pic:spPr>
                    <a:xfrm>
                      <a:off x="0" y="0"/>
                      <a:ext cx="682752" cy="112776"/>
                    </a:xfrm>
                    <a:prstGeom prst="rect">
                      <a:avLst/>
                    </a:prstGeom>
                  </pic:spPr>
                </pic:pic>
              </a:graphicData>
            </a:graphic>
          </wp:inline>
        </w:drawing>
      </w:r>
      <w:r w:rsidRPr="003D13EF">
        <w:rPr>
          <w:rFonts w:ascii="Franklin Gothic Medium" w:eastAsia="Calibri" w:hAnsi="Franklin Gothic Medium" w:cs="Calibri"/>
          <w:sz w:val="22"/>
        </w:rPr>
        <w:t xml:space="preserve"> </w:t>
      </w:r>
      <w:r w:rsidR="00A14FCD">
        <w:rPr>
          <w:rFonts w:ascii="Franklin Gothic Medium" w:eastAsia="Calibri" w:hAnsi="Franklin Gothic Medium" w:cs="Calibri"/>
          <w:sz w:val="22"/>
        </w:rPr>
        <w:tab/>
      </w:r>
      <w:r w:rsidR="00A14FCD">
        <w:rPr>
          <w:rFonts w:ascii="Franklin Gothic Medium" w:eastAsia="Franklin Gothic" w:hAnsi="Franklin Gothic Medium" w:cs="Franklin Gothic"/>
        </w:rPr>
        <w:t>Spending and Related Guidelines</w:t>
      </w:r>
      <w:r w:rsidRPr="003D13EF">
        <w:rPr>
          <w:rFonts w:ascii="Franklin Gothic Medium" w:eastAsia="Franklin Gothic" w:hAnsi="Franklin Gothic Medium" w:cs="Franklin Gothic"/>
        </w:rPr>
        <w:t xml:space="preserve"> ..................</w:t>
      </w:r>
      <w:r w:rsidR="002262B4" w:rsidRPr="003D13EF">
        <w:rPr>
          <w:rFonts w:ascii="Franklin Gothic Medium" w:eastAsia="Franklin Gothic" w:hAnsi="Franklin Gothic Medium" w:cs="Franklin Gothic"/>
        </w:rPr>
        <w:t>.</w:t>
      </w:r>
      <w:r w:rsidRPr="003D13EF">
        <w:rPr>
          <w:rFonts w:ascii="Franklin Gothic Medium" w:eastAsia="Franklin Gothic" w:hAnsi="Franklin Gothic Medium" w:cs="Franklin Gothic"/>
        </w:rPr>
        <w:t>...</w:t>
      </w:r>
      <w:r w:rsidR="00A14FCD">
        <w:rPr>
          <w:rFonts w:ascii="Franklin Gothic Medium" w:eastAsia="Franklin Gothic" w:hAnsi="Franklin Gothic Medium" w:cs="Franklin Gothic"/>
        </w:rPr>
        <w:t>...</w:t>
      </w:r>
      <w:r w:rsidRPr="003D13EF">
        <w:rPr>
          <w:rFonts w:ascii="Franklin Gothic Medium" w:eastAsia="Franklin Gothic" w:hAnsi="Franklin Gothic Medium" w:cs="Franklin Gothic"/>
        </w:rPr>
        <w:t>...............................................</w:t>
      </w:r>
      <w:r w:rsidR="00A277BE" w:rsidRPr="003D13EF">
        <w:rPr>
          <w:rFonts w:ascii="Franklin Gothic Medium" w:eastAsia="Franklin Gothic" w:hAnsi="Franklin Gothic Medium" w:cs="Franklin Gothic"/>
        </w:rPr>
        <w:t xml:space="preserve">.  </w:t>
      </w:r>
      <w:r w:rsidR="00A74C10">
        <w:rPr>
          <w:rFonts w:ascii="Franklin Gothic Medium" w:eastAsia="Franklin Gothic" w:hAnsi="Franklin Gothic Medium" w:cs="Franklin Gothic"/>
        </w:rPr>
        <w:t>3</w:t>
      </w:r>
      <w:r w:rsidRPr="003D13EF">
        <w:rPr>
          <w:rFonts w:ascii="Franklin Gothic Medium" w:eastAsia="Calibri" w:hAnsi="Franklin Gothic Medium" w:cs="Calibri"/>
          <w:sz w:val="22"/>
        </w:rPr>
        <w:t xml:space="preserve"> </w:t>
      </w:r>
    </w:p>
    <w:p w14:paraId="4B807018" w14:textId="33E60F9F" w:rsidR="002E1C02" w:rsidRPr="003D13EF" w:rsidRDefault="004D7607">
      <w:pPr>
        <w:tabs>
          <w:tab w:val="right" w:pos="9349"/>
        </w:tabs>
        <w:spacing w:after="88" w:line="259" w:lineRule="auto"/>
        <w:ind w:left="-22" w:right="-15" w:firstLine="0"/>
        <w:rPr>
          <w:rFonts w:ascii="Franklin Gothic Medium" w:hAnsi="Franklin Gothic Medium"/>
        </w:rPr>
      </w:pPr>
      <w:r w:rsidRPr="003D13EF">
        <w:rPr>
          <w:rFonts w:ascii="Franklin Gothic Medium" w:eastAsia="Calibri" w:hAnsi="Franklin Gothic Medium" w:cs="Calibri"/>
          <w:sz w:val="22"/>
        </w:rPr>
        <w:t xml:space="preserve"> </w:t>
      </w:r>
    </w:p>
    <w:p w14:paraId="19593631" w14:textId="68F19560" w:rsidR="002E1C02" w:rsidRDefault="004D7607">
      <w:pPr>
        <w:spacing w:after="5" w:line="259" w:lineRule="auto"/>
        <w:ind w:left="0" w:firstLine="0"/>
      </w:pPr>
      <w:r>
        <w:t xml:space="preserve"> </w:t>
      </w:r>
    </w:p>
    <w:p w14:paraId="16FC713C" w14:textId="6D90D56C" w:rsidR="002F1CD9" w:rsidRDefault="002F1CD9">
      <w:pPr>
        <w:spacing w:after="5" w:line="259" w:lineRule="auto"/>
        <w:ind w:left="0" w:firstLine="0"/>
      </w:pPr>
    </w:p>
    <w:p w14:paraId="68588D23" w14:textId="282B7020" w:rsidR="002F1CD9" w:rsidRDefault="002F1CD9">
      <w:pPr>
        <w:spacing w:after="5" w:line="259" w:lineRule="auto"/>
        <w:ind w:left="0" w:firstLine="0"/>
      </w:pPr>
    </w:p>
    <w:p w14:paraId="2579517F" w14:textId="3A382EC2" w:rsidR="002F1CD9" w:rsidRDefault="002F1CD9">
      <w:pPr>
        <w:spacing w:after="5" w:line="259" w:lineRule="auto"/>
        <w:ind w:left="0" w:firstLine="0"/>
      </w:pPr>
    </w:p>
    <w:p w14:paraId="1866961B" w14:textId="3299442E" w:rsidR="002F1CD9" w:rsidRDefault="002F1CD9">
      <w:pPr>
        <w:spacing w:after="5" w:line="259" w:lineRule="auto"/>
        <w:ind w:left="0" w:firstLine="0"/>
      </w:pPr>
    </w:p>
    <w:p w14:paraId="3CD95F4B" w14:textId="7A299E21" w:rsidR="002F1CD9" w:rsidRDefault="002F1CD9">
      <w:pPr>
        <w:spacing w:after="5" w:line="259" w:lineRule="auto"/>
        <w:ind w:left="0" w:firstLine="0"/>
      </w:pPr>
    </w:p>
    <w:p w14:paraId="29A448AF" w14:textId="1E851C3F" w:rsidR="002F1CD9" w:rsidRDefault="002F1CD9">
      <w:pPr>
        <w:spacing w:after="5" w:line="259" w:lineRule="auto"/>
        <w:ind w:left="0" w:firstLine="0"/>
      </w:pPr>
    </w:p>
    <w:p w14:paraId="739958FA" w14:textId="5CF76295" w:rsidR="002F1CD9" w:rsidRDefault="002F1CD9">
      <w:pPr>
        <w:spacing w:after="5" w:line="259" w:lineRule="auto"/>
        <w:ind w:left="0" w:firstLine="0"/>
      </w:pPr>
    </w:p>
    <w:p w14:paraId="198DE066" w14:textId="72E65C9A" w:rsidR="002F1CD9" w:rsidRDefault="002F1CD9">
      <w:pPr>
        <w:spacing w:after="5" w:line="259" w:lineRule="auto"/>
        <w:ind w:left="0" w:firstLine="0"/>
      </w:pPr>
    </w:p>
    <w:p w14:paraId="0A7B7EF4" w14:textId="3EC2059F" w:rsidR="002F1CD9" w:rsidRDefault="002F1CD9">
      <w:pPr>
        <w:spacing w:after="5" w:line="259" w:lineRule="auto"/>
        <w:ind w:left="0" w:firstLine="0"/>
      </w:pPr>
    </w:p>
    <w:p w14:paraId="345E7A55" w14:textId="2787D2FE" w:rsidR="002F1CD9" w:rsidRDefault="002F1CD9">
      <w:pPr>
        <w:spacing w:after="5" w:line="259" w:lineRule="auto"/>
        <w:ind w:left="0" w:firstLine="0"/>
      </w:pPr>
    </w:p>
    <w:p w14:paraId="20B61206" w14:textId="03DE290E" w:rsidR="002F1CD9" w:rsidRDefault="002F1CD9">
      <w:pPr>
        <w:spacing w:after="5" w:line="259" w:lineRule="auto"/>
        <w:ind w:left="0" w:firstLine="0"/>
      </w:pPr>
    </w:p>
    <w:p w14:paraId="7CD9AC63" w14:textId="45B75BE8" w:rsidR="002F1CD9" w:rsidRDefault="002F1CD9">
      <w:pPr>
        <w:spacing w:after="5" w:line="259" w:lineRule="auto"/>
        <w:ind w:left="0" w:firstLine="0"/>
      </w:pPr>
    </w:p>
    <w:p w14:paraId="264DBC8F" w14:textId="0F47754C" w:rsidR="002F1CD9" w:rsidRDefault="002F1CD9">
      <w:pPr>
        <w:spacing w:after="5" w:line="259" w:lineRule="auto"/>
        <w:ind w:left="0" w:firstLine="0"/>
      </w:pPr>
    </w:p>
    <w:p w14:paraId="436B92B1" w14:textId="77777777" w:rsidR="002F1CD9" w:rsidRDefault="002F1CD9">
      <w:pPr>
        <w:spacing w:after="5" w:line="259" w:lineRule="auto"/>
        <w:ind w:left="0" w:firstLine="0"/>
      </w:pPr>
    </w:p>
    <w:p w14:paraId="0E80B7BE" w14:textId="77777777" w:rsidR="002E1C02" w:rsidRDefault="004D7607">
      <w:pPr>
        <w:spacing w:after="0" w:line="259" w:lineRule="auto"/>
        <w:ind w:left="0" w:firstLine="0"/>
      </w:pPr>
      <w:r>
        <w:t xml:space="preserve"> </w:t>
      </w:r>
      <w:r>
        <w:tab/>
        <w:t xml:space="preserve"> </w:t>
      </w:r>
    </w:p>
    <w:p w14:paraId="0A010A99" w14:textId="77777777" w:rsidR="00144998" w:rsidRDefault="004D7607">
      <w:pPr>
        <w:pStyle w:val="Heading1"/>
        <w:tabs>
          <w:tab w:val="center" w:pos="2088"/>
        </w:tabs>
        <w:ind w:left="-20" w:firstLine="0"/>
        <w:rPr>
          <w:rFonts w:ascii="Franklin Gothic Medium" w:hAnsi="Franklin Gothic Medium"/>
        </w:rPr>
      </w:pPr>
      <w:r>
        <w:rPr>
          <w:noProof/>
        </w:rPr>
        <w:lastRenderedPageBreak/>
        <w:drawing>
          <wp:inline distT="0" distB="0" distL="0" distR="0" wp14:anchorId="36162C5C" wp14:editId="0BB08F14">
            <wp:extent cx="701040" cy="131064"/>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1"/>
                    <a:stretch>
                      <a:fillRect/>
                    </a:stretch>
                  </pic:blipFill>
                  <pic:spPr>
                    <a:xfrm>
                      <a:off x="0" y="0"/>
                      <a:ext cx="701040" cy="131064"/>
                    </a:xfrm>
                    <a:prstGeom prst="rect">
                      <a:avLst/>
                    </a:prstGeom>
                  </pic:spPr>
                </pic:pic>
              </a:graphicData>
            </a:graphic>
          </wp:inline>
        </w:drawing>
      </w:r>
      <w:r>
        <w:rPr>
          <w:rFonts w:ascii="Arial" w:eastAsia="Arial" w:hAnsi="Arial" w:cs="Arial"/>
        </w:rPr>
        <w:t xml:space="preserve"> </w:t>
      </w:r>
      <w:r>
        <w:rPr>
          <w:rFonts w:ascii="Arial" w:eastAsia="Arial" w:hAnsi="Arial" w:cs="Arial"/>
        </w:rPr>
        <w:tab/>
      </w:r>
      <w:r w:rsidRPr="003D13EF">
        <w:rPr>
          <w:rFonts w:ascii="Franklin Gothic Medium" w:hAnsi="Franklin Gothic Medium"/>
        </w:rPr>
        <w:t>Definitions</w:t>
      </w:r>
    </w:p>
    <w:p w14:paraId="65320C55" w14:textId="77777777" w:rsidR="008D70C7" w:rsidRPr="008D70C7" w:rsidRDefault="008D70C7" w:rsidP="008D70C7">
      <w:pPr>
        <w:pStyle w:val="Heading1"/>
        <w:tabs>
          <w:tab w:val="center" w:pos="2088"/>
        </w:tabs>
        <w:ind w:left="-20" w:firstLine="0"/>
        <w:rPr>
          <w:rFonts w:ascii="Franklin Gothic Book" w:hAnsi="Franklin Gothic Book"/>
          <w:sz w:val="24"/>
          <w:szCs w:val="24"/>
        </w:rPr>
      </w:pPr>
      <w:r w:rsidRPr="008D70C7">
        <w:rPr>
          <w:rFonts w:ascii="Franklin Gothic Book" w:hAnsi="Franklin Gothic Book"/>
          <w:b/>
          <w:bCs/>
          <w:sz w:val="24"/>
          <w:szCs w:val="24"/>
        </w:rPr>
        <w:t>Health services</w:t>
      </w:r>
      <w:r w:rsidRPr="008D70C7">
        <w:rPr>
          <w:rFonts w:ascii="Franklin Gothic Book" w:hAnsi="Franklin Gothic Book"/>
          <w:sz w:val="24"/>
          <w:szCs w:val="24"/>
        </w:rPr>
        <w:t xml:space="preserve"> means: </w:t>
      </w:r>
    </w:p>
    <w:p w14:paraId="1D29B423" w14:textId="35927C7F" w:rsidR="008D70C7" w:rsidRPr="008D70C7" w:rsidRDefault="00C55F60" w:rsidP="00C55F60">
      <w:pPr>
        <w:pStyle w:val="Heading1"/>
        <w:numPr>
          <w:ilvl w:val="0"/>
          <w:numId w:val="5"/>
        </w:numPr>
        <w:tabs>
          <w:tab w:val="center" w:pos="2088"/>
        </w:tabs>
        <w:spacing w:after="0" w:line="240" w:lineRule="auto"/>
        <w:rPr>
          <w:rFonts w:ascii="Franklin Gothic Book" w:hAnsi="Franklin Gothic Book"/>
          <w:sz w:val="24"/>
          <w:szCs w:val="24"/>
        </w:rPr>
      </w:pPr>
      <w:r>
        <w:rPr>
          <w:rFonts w:ascii="Franklin Gothic Book" w:hAnsi="Franklin Gothic Book"/>
          <w:sz w:val="24"/>
          <w:szCs w:val="24"/>
        </w:rPr>
        <w:t xml:space="preserve"> </w:t>
      </w:r>
      <w:r w:rsidR="008D70C7" w:rsidRPr="008D70C7">
        <w:rPr>
          <w:rFonts w:ascii="Franklin Gothic Book" w:hAnsi="Franklin Gothic Book"/>
          <w:sz w:val="24"/>
          <w:szCs w:val="24"/>
        </w:rPr>
        <w:t xml:space="preserve">Corrective surgery or therapeutic treatment that is likely, within a reasonable period </w:t>
      </w:r>
    </w:p>
    <w:p w14:paraId="63F05909" w14:textId="77777777" w:rsidR="008D70C7" w:rsidRPr="008D70C7" w:rsidRDefault="008D70C7" w:rsidP="008D70C7">
      <w:pPr>
        <w:pStyle w:val="Heading1"/>
        <w:tabs>
          <w:tab w:val="center" w:pos="2088"/>
        </w:tabs>
        <w:spacing w:after="0" w:line="240" w:lineRule="auto"/>
        <w:ind w:left="-20" w:firstLine="0"/>
        <w:rPr>
          <w:rFonts w:ascii="Franklin Gothic Book" w:hAnsi="Franklin Gothic Book"/>
          <w:sz w:val="24"/>
          <w:szCs w:val="24"/>
        </w:rPr>
      </w:pPr>
      <w:r w:rsidRPr="008D70C7">
        <w:rPr>
          <w:rFonts w:ascii="Franklin Gothic Book" w:hAnsi="Franklin Gothic Book"/>
          <w:sz w:val="24"/>
          <w:szCs w:val="24"/>
        </w:rPr>
        <w:t xml:space="preserve">of time, to correct or modify substantially a stable or slowly progressive physical or </w:t>
      </w:r>
    </w:p>
    <w:p w14:paraId="1694A290" w14:textId="4FBEDD1E" w:rsidR="008D70C7" w:rsidRDefault="008D70C7" w:rsidP="008D70C7">
      <w:pPr>
        <w:pStyle w:val="Heading1"/>
        <w:tabs>
          <w:tab w:val="center" w:pos="2088"/>
        </w:tabs>
        <w:spacing w:after="0" w:line="240" w:lineRule="auto"/>
        <w:ind w:left="-20" w:firstLine="0"/>
        <w:rPr>
          <w:rFonts w:ascii="Franklin Gothic Book" w:hAnsi="Franklin Gothic Book"/>
          <w:sz w:val="24"/>
          <w:szCs w:val="24"/>
        </w:rPr>
      </w:pPr>
      <w:r w:rsidRPr="008D70C7">
        <w:rPr>
          <w:rFonts w:ascii="Franklin Gothic Book" w:hAnsi="Franklin Gothic Book"/>
          <w:sz w:val="24"/>
          <w:szCs w:val="24"/>
        </w:rPr>
        <w:t xml:space="preserve">mental impairment that constitutes a substantial impediment to </w:t>
      </w:r>
      <w:proofErr w:type="gramStart"/>
      <w:r w:rsidRPr="008D70C7">
        <w:rPr>
          <w:rFonts w:ascii="Franklin Gothic Book" w:hAnsi="Franklin Gothic Book"/>
          <w:sz w:val="24"/>
          <w:szCs w:val="24"/>
        </w:rPr>
        <w:t>employment;</w:t>
      </w:r>
      <w:proofErr w:type="gramEnd"/>
      <w:r w:rsidRPr="008D70C7">
        <w:rPr>
          <w:rFonts w:ascii="Franklin Gothic Book" w:hAnsi="Franklin Gothic Book"/>
          <w:sz w:val="24"/>
          <w:szCs w:val="24"/>
        </w:rPr>
        <w:t xml:space="preserve"> </w:t>
      </w:r>
    </w:p>
    <w:p w14:paraId="4EA7CB19" w14:textId="3443A772" w:rsidR="008D70C7" w:rsidRPr="00C55F60" w:rsidRDefault="00C55F60" w:rsidP="00C55F60">
      <w:pPr>
        <w:pStyle w:val="ListParagraph"/>
        <w:numPr>
          <w:ilvl w:val="0"/>
          <w:numId w:val="7"/>
        </w:numPr>
        <w:tabs>
          <w:tab w:val="center" w:pos="2088"/>
        </w:tabs>
        <w:spacing w:after="0" w:line="240" w:lineRule="auto"/>
        <w:rPr>
          <w:szCs w:val="24"/>
        </w:rPr>
      </w:pPr>
      <w:r>
        <w:t xml:space="preserve"> S</w:t>
      </w:r>
      <w:r w:rsidR="008D70C7" w:rsidRPr="00C55F60">
        <w:rPr>
          <w:szCs w:val="24"/>
        </w:rPr>
        <w:t xml:space="preserve">hort-term attendant care may be provided for individuals recovering </w:t>
      </w:r>
    </w:p>
    <w:p w14:paraId="60EC1A43" w14:textId="4979EB66" w:rsidR="008D70C7" w:rsidRDefault="00C55F60" w:rsidP="008D70C7">
      <w:pPr>
        <w:pStyle w:val="Heading1"/>
        <w:tabs>
          <w:tab w:val="center" w:pos="2088"/>
        </w:tabs>
        <w:spacing w:after="0" w:line="240" w:lineRule="auto"/>
        <w:ind w:left="-20" w:firstLine="0"/>
        <w:rPr>
          <w:rFonts w:ascii="Franklin Gothic Book" w:hAnsi="Franklin Gothic Book"/>
          <w:sz w:val="24"/>
          <w:szCs w:val="24"/>
        </w:rPr>
      </w:pPr>
      <w:r>
        <w:rPr>
          <w:rFonts w:ascii="Franklin Gothic Book" w:hAnsi="Franklin Gothic Book"/>
          <w:sz w:val="24"/>
          <w:szCs w:val="24"/>
        </w:rPr>
        <w:t xml:space="preserve">              </w:t>
      </w:r>
      <w:r w:rsidR="008D70C7" w:rsidRPr="008D70C7">
        <w:rPr>
          <w:rFonts w:ascii="Franklin Gothic Book" w:hAnsi="Franklin Gothic Book"/>
          <w:sz w:val="24"/>
          <w:szCs w:val="24"/>
        </w:rPr>
        <w:t>from eye surgery</w:t>
      </w:r>
      <w:r w:rsidR="008D70C7">
        <w:rPr>
          <w:rFonts w:ascii="Franklin Gothic Book" w:hAnsi="Franklin Gothic Book"/>
          <w:sz w:val="24"/>
          <w:szCs w:val="24"/>
        </w:rPr>
        <w:t>.</w:t>
      </w:r>
    </w:p>
    <w:p w14:paraId="5CB85BB9" w14:textId="17074444" w:rsidR="008D70C7" w:rsidRPr="008D70C7" w:rsidRDefault="00C55F60" w:rsidP="00C55F60">
      <w:pPr>
        <w:pStyle w:val="Heading1"/>
        <w:numPr>
          <w:ilvl w:val="0"/>
          <w:numId w:val="5"/>
        </w:numPr>
        <w:tabs>
          <w:tab w:val="center" w:pos="2088"/>
        </w:tabs>
        <w:spacing w:after="0" w:line="240" w:lineRule="auto"/>
        <w:rPr>
          <w:rFonts w:ascii="Franklin Gothic Book" w:hAnsi="Franklin Gothic Book"/>
          <w:sz w:val="24"/>
          <w:szCs w:val="24"/>
        </w:rPr>
      </w:pPr>
      <w:r>
        <w:rPr>
          <w:rFonts w:ascii="Franklin Gothic Book" w:hAnsi="Franklin Gothic Book"/>
          <w:sz w:val="24"/>
          <w:szCs w:val="24"/>
        </w:rPr>
        <w:t xml:space="preserve"> </w:t>
      </w:r>
      <w:r w:rsidR="008D70C7" w:rsidRPr="008D70C7">
        <w:rPr>
          <w:rFonts w:ascii="Franklin Gothic Book" w:hAnsi="Franklin Gothic Book"/>
          <w:sz w:val="24"/>
          <w:szCs w:val="24"/>
        </w:rPr>
        <w:t xml:space="preserve">Audiological services, including hearing aids and other audiological aids used to </w:t>
      </w:r>
    </w:p>
    <w:p w14:paraId="27A3AAD1" w14:textId="77777777" w:rsidR="008D70C7" w:rsidRPr="008D70C7" w:rsidRDefault="008D70C7" w:rsidP="008D70C7">
      <w:pPr>
        <w:pStyle w:val="Heading1"/>
        <w:tabs>
          <w:tab w:val="center" w:pos="2088"/>
        </w:tabs>
        <w:spacing w:after="0" w:line="240" w:lineRule="auto"/>
        <w:ind w:left="-20" w:firstLine="0"/>
        <w:rPr>
          <w:rFonts w:ascii="Franklin Gothic Book" w:hAnsi="Franklin Gothic Book"/>
          <w:sz w:val="24"/>
          <w:szCs w:val="24"/>
        </w:rPr>
      </w:pPr>
      <w:r w:rsidRPr="008D70C7">
        <w:rPr>
          <w:rFonts w:ascii="Franklin Gothic Book" w:hAnsi="Franklin Gothic Book"/>
          <w:sz w:val="24"/>
          <w:szCs w:val="24"/>
        </w:rPr>
        <w:t xml:space="preserve">maximize sensory input to facilitate communication, compensate for visual loss, and </w:t>
      </w:r>
    </w:p>
    <w:p w14:paraId="4CDCC8E6" w14:textId="1E805AE5" w:rsidR="008D70C7" w:rsidRDefault="008D70C7" w:rsidP="008D70C7">
      <w:pPr>
        <w:pStyle w:val="Heading1"/>
        <w:tabs>
          <w:tab w:val="center" w:pos="2088"/>
        </w:tabs>
        <w:spacing w:after="0" w:line="240" w:lineRule="auto"/>
        <w:ind w:left="-20" w:firstLine="0"/>
        <w:rPr>
          <w:rFonts w:ascii="Franklin Gothic Book" w:hAnsi="Franklin Gothic Book"/>
          <w:sz w:val="24"/>
          <w:szCs w:val="24"/>
        </w:rPr>
      </w:pPr>
      <w:r w:rsidRPr="008D70C7">
        <w:rPr>
          <w:rFonts w:ascii="Franklin Gothic Book" w:hAnsi="Franklin Gothic Book"/>
          <w:sz w:val="24"/>
          <w:szCs w:val="24"/>
        </w:rPr>
        <w:t xml:space="preserve">promote </w:t>
      </w:r>
      <w:proofErr w:type="gramStart"/>
      <w:r w:rsidRPr="008D70C7">
        <w:rPr>
          <w:rFonts w:ascii="Franklin Gothic Book" w:hAnsi="Franklin Gothic Book"/>
          <w:sz w:val="24"/>
          <w:szCs w:val="24"/>
        </w:rPr>
        <w:t>safety;</w:t>
      </w:r>
      <w:proofErr w:type="gramEnd"/>
      <w:r w:rsidRPr="008D70C7">
        <w:rPr>
          <w:rFonts w:ascii="Franklin Gothic Book" w:hAnsi="Franklin Gothic Book"/>
          <w:sz w:val="24"/>
          <w:szCs w:val="24"/>
        </w:rPr>
        <w:t xml:space="preserve"> </w:t>
      </w:r>
    </w:p>
    <w:p w14:paraId="4D140981" w14:textId="0700EB83" w:rsidR="008D70C7" w:rsidRPr="008D70C7" w:rsidRDefault="00C55F60" w:rsidP="00C55F60">
      <w:pPr>
        <w:pStyle w:val="Heading1"/>
        <w:numPr>
          <w:ilvl w:val="0"/>
          <w:numId w:val="5"/>
        </w:numPr>
        <w:tabs>
          <w:tab w:val="center" w:pos="2088"/>
        </w:tabs>
        <w:spacing w:after="0" w:line="240" w:lineRule="auto"/>
        <w:rPr>
          <w:rFonts w:ascii="Franklin Gothic Book" w:hAnsi="Franklin Gothic Book"/>
          <w:sz w:val="24"/>
          <w:szCs w:val="24"/>
        </w:rPr>
      </w:pPr>
      <w:r>
        <w:rPr>
          <w:rFonts w:ascii="Franklin Gothic Book" w:hAnsi="Franklin Gothic Book"/>
          <w:sz w:val="24"/>
          <w:szCs w:val="24"/>
        </w:rPr>
        <w:t xml:space="preserve"> </w:t>
      </w:r>
      <w:r w:rsidR="008D70C7" w:rsidRPr="008D70C7">
        <w:rPr>
          <w:rFonts w:ascii="Franklin Gothic Book" w:hAnsi="Franklin Gothic Book"/>
          <w:sz w:val="24"/>
          <w:szCs w:val="24"/>
        </w:rPr>
        <w:t xml:space="preserve">Diagnosis of and treatment for mental or emotional disorders by qualified personnel </w:t>
      </w:r>
    </w:p>
    <w:p w14:paraId="14BD6D90" w14:textId="77777777" w:rsidR="008D70C7" w:rsidRPr="008D70C7" w:rsidRDefault="008D70C7" w:rsidP="008D70C7">
      <w:pPr>
        <w:pStyle w:val="Heading1"/>
        <w:tabs>
          <w:tab w:val="center" w:pos="2088"/>
        </w:tabs>
        <w:spacing w:after="0" w:line="240" w:lineRule="auto"/>
        <w:ind w:left="-20" w:firstLine="0"/>
        <w:rPr>
          <w:rFonts w:ascii="Franklin Gothic Book" w:hAnsi="Franklin Gothic Book"/>
          <w:sz w:val="24"/>
          <w:szCs w:val="24"/>
        </w:rPr>
      </w:pPr>
      <w:r w:rsidRPr="008D70C7">
        <w:rPr>
          <w:rFonts w:ascii="Franklin Gothic Book" w:hAnsi="Franklin Gothic Book"/>
          <w:sz w:val="24"/>
          <w:szCs w:val="24"/>
        </w:rPr>
        <w:t xml:space="preserve">in accordance with State licensure </w:t>
      </w:r>
      <w:proofErr w:type="gramStart"/>
      <w:r w:rsidRPr="008D70C7">
        <w:rPr>
          <w:rFonts w:ascii="Franklin Gothic Book" w:hAnsi="Franklin Gothic Book"/>
          <w:sz w:val="24"/>
          <w:szCs w:val="24"/>
        </w:rPr>
        <w:t>laws;</w:t>
      </w:r>
      <w:proofErr w:type="gramEnd"/>
      <w:r w:rsidRPr="008D70C7">
        <w:rPr>
          <w:rFonts w:ascii="Franklin Gothic Book" w:hAnsi="Franklin Gothic Book"/>
          <w:sz w:val="24"/>
          <w:szCs w:val="24"/>
        </w:rPr>
        <w:t xml:space="preserve"> </w:t>
      </w:r>
    </w:p>
    <w:p w14:paraId="4220DCAB" w14:textId="0AA3673C" w:rsidR="008D70C7" w:rsidRPr="008D70C7" w:rsidRDefault="00C55F60" w:rsidP="00C55F60">
      <w:pPr>
        <w:pStyle w:val="Heading1"/>
        <w:numPr>
          <w:ilvl w:val="0"/>
          <w:numId w:val="5"/>
        </w:numPr>
        <w:tabs>
          <w:tab w:val="center" w:pos="2088"/>
        </w:tabs>
        <w:spacing w:after="0" w:line="240" w:lineRule="auto"/>
        <w:rPr>
          <w:rFonts w:ascii="Franklin Gothic Book" w:hAnsi="Franklin Gothic Book"/>
          <w:sz w:val="24"/>
          <w:szCs w:val="24"/>
        </w:rPr>
      </w:pPr>
      <w:r>
        <w:rPr>
          <w:rFonts w:ascii="Franklin Gothic Book" w:hAnsi="Franklin Gothic Book"/>
          <w:sz w:val="24"/>
          <w:szCs w:val="24"/>
        </w:rPr>
        <w:t xml:space="preserve"> </w:t>
      </w:r>
      <w:r w:rsidR="008D70C7" w:rsidRPr="008D70C7">
        <w:rPr>
          <w:rFonts w:ascii="Franklin Gothic Book" w:hAnsi="Franklin Gothic Book"/>
          <w:sz w:val="24"/>
          <w:szCs w:val="24"/>
        </w:rPr>
        <w:t xml:space="preserve">Dental services when critical for maintaining an appropriate diet (e.g., diabetes) or </w:t>
      </w:r>
    </w:p>
    <w:p w14:paraId="01BE5E2C" w14:textId="77777777" w:rsidR="008D70C7" w:rsidRPr="008D70C7" w:rsidRDefault="008D70C7" w:rsidP="008D70C7">
      <w:pPr>
        <w:pStyle w:val="Heading1"/>
        <w:tabs>
          <w:tab w:val="center" w:pos="2088"/>
        </w:tabs>
        <w:spacing w:after="0" w:line="240" w:lineRule="auto"/>
        <w:ind w:left="-20" w:firstLine="0"/>
        <w:rPr>
          <w:rFonts w:ascii="Franklin Gothic Book" w:hAnsi="Franklin Gothic Book"/>
          <w:sz w:val="24"/>
          <w:szCs w:val="24"/>
        </w:rPr>
      </w:pPr>
      <w:r w:rsidRPr="008D70C7">
        <w:rPr>
          <w:rFonts w:ascii="Franklin Gothic Book" w:hAnsi="Franklin Gothic Book"/>
          <w:sz w:val="24"/>
          <w:szCs w:val="24"/>
        </w:rPr>
        <w:t xml:space="preserve">for cosmetic reasons if employment requires frequent contact with the </w:t>
      </w:r>
      <w:proofErr w:type="gramStart"/>
      <w:r w:rsidRPr="008D70C7">
        <w:rPr>
          <w:rFonts w:ascii="Franklin Gothic Book" w:hAnsi="Franklin Gothic Book"/>
          <w:sz w:val="24"/>
          <w:szCs w:val="24"/>
        </w:rPr>
        <w:t>public;</w:t>
      </w:r>
      <w:proofErr w:type="gramEnd"/>
      <w:r w:rsidRPr="008D70C7">
        <w:rPr>
          <w:rFonts w:ascii="Franklin Gothic Book" w:hAnsi="Franklin Gothic Book"/>
          <w:sz w:val="24"/>
          <w:szCs w:val="24"/>
        </w:rPr>
        <w:t xml:space="preserve"> </w:t>
      </w:r>
    </w:p>
    <w:p w14:paraId="7F2F6D7C" w14:textId="63D9181B" w:rsidR="008D70C7" w:rsidRPr="008D70C7" w:rsidRDefault="002F1CD9" w:rsidP="002F1CD9">
      <w:pPr>
        <w:pStyle w:val="Heading1"/>
        <w:numPr>
          <w:ilvl w:val="0"/>
          <w:numId w:val="5"/>
        </w:numPr>
        <w:tabs>
          <w:tab w:val="center" w:pos="2088"/>
        </w:tabs>
        <w:spacing w:after="0" w:line="240" w:lineRule="auto"/>
        <w:rPr>
          <w:rFonts w:ascii="Franklin Gothic Book" w:hAnsi="Franklin Gothic Book"/>
          <w:sz w:val="24"/>
          <w:szCs w:val="24"/>
        </w:rPr>
      </w:pPr>
      <w:r>
        <w:rPr>
          <w:rFonts w:ascii="Franklin Gothic Book" w:hAnsi="Franklin Gothic Book"/>
          <w:sz w:val="24"/>
          <w:szCs w:val="24"/>
        </w:rPr>
        <w:t xml:space="preserve"> </w:t>
      </w:r>
      <w:r w:rsidR="008D70C7" w:rsidRPr="008D70C7">
        <w:rPr>
          <w:rFonts w:ascii="Franklin Gothic Book" w:hAnsi="Franklin Gothic Book"/>
          <w:sz w:val="24"/>
          <w:szCs w:val="24"/>
        </w:rPr>
        <w:t xml:space="preserve">Equipment, prescriptions, and medical counseling related to </w:t>
      </w:r>
      <w:proofErr w:type="gramStart"/>
      <w:r w:rsidR="008D70C7" w:rsidRPr="008D70C7">
        <w:rPr>
          <w:rFonts w:ascii="Franklin Gothic Book" w:hAnsi="Franklin Gothic Book"/>
          <w:sz w:val="24"/>
          <w:szCs w:val="24"/>
        </w:rPr>
        <w:t>diabetes;</w:t>
      </w:r>
      <w:proofErr w:type="gramEnd"/>
      <w:r w:rsidR="008D70C7" w:rsidRPr="008D70C7">
        <w:rPr>
          <w:rFonts w:ascii="Franklin Gothic Book" w:hAnsi="Franklin Gothic Book"/>
          <w:sz w:val="24"/>
          <w:szCs w:val="24"/>
        </w:rPr>
        <w:t xml:space="preserve"> </w:t>
      </w:r>
    </w:p>
    <w:p w14:paraId="59883465" w14:textId="25C0856B" w:rsidR="008D70C7" w:rsidRPr="008D70C7" w:rsidRDefault="002F1CD9" w:rsidP="002F1CD9">
      <w:pPr>
        <w:pStyle w:val="Heading1"/>
        <w:numPr>
          <w:ilvl w:val="0"/>
          <w:numId w:val="5"/>
        </w:numPr>
        <w:tabs>
          <w:tab w:val="center" w:pos="2088"/>
        </w:tabs>
        <w:spacing w:after="0" w:line="240" w:lineRule="auto"/>
        <w:rPr>
          <w:rFonts w:ascii="Franklin Gothic Book" w:hAnsi="Franklin Gothic Book"/>
          <w:sz w:val="24"/>
          <w:szCs w:val="24"/>
        </w:rPr>
      </w:pPr>
      <w:r>
        <w:rPr>
          <w:rFonts w:ascii="Franklin Gothic Book" w:hAnsi="Franklin Gothic Book"/>
          <w:sz w:val="24"/>
          <w:szCs w:val="24"/>
        </w:rPr>
        <w:t xml:space="preserve"> </w:t>
      </w:r>
      <w:r w:rsidR="008D70C7" w:rsidRPr="008D70C7">
        <w:rPr>
          <w:rFonts w:ascii="Franklin Gothic Book" w:hAnsi="Franklin Gothic Book"/>
          <w:sz w:val="24"/>
          <w:szCs w:val="24"/>
        </w:rPr>
        <w:t xml:space="preserve">Nursing </w:t>
      </w:r>
      <w:proofErr w:type="gramStart"/>
      <w:r w:rsidR="008D70C7" w:rsidRPr="008D70C7">
        <w:rPr>
          <w:rFonts w:ascii="Franklin Gothic Book" w:hAnsi="Franklin Gothic Book"/>
          <w:sz w:val="24"/>
          <w:szCs w:val="24"/>
        </w:rPr>
        <w:t>services;</w:t>
      </w:r>
      <w:proofErr w:type="gramEnd"/>
      <w:r w:rsidR="008D70C7" w:rsidRPr="008D70C7">
        <w:rPr>
          <w:rFonts w:ascii="Franklin Gothic Book" w:hAnsi="Franklin Gothic Book"/>
          <w:sz w:val="24"/>
          <w:szCs w:val="24"/>
        </w:rPr>
        <w:t xml:space="preserve"> </w:t>
      </w:r>
    </w:p>
    <w:p w14:paraId="594EEB52" w14:textId="2BD10953" w:rsidR="008D70C7" w:rsidRPr="008D70C7" w:rsidRDefault="002F1CD9" w:rsidP="002F1CD9">
      <w:pPr>
        <w:pStyle w:val="Heading1"/>
        <w:numPr>
          <w:ilvl w:val="0"/>
          <w:numId w:val="5"/>
        </w:numPr>
        <w:tabs>
          <w:tab w:val="center" w:pos="2088"/>
        </w:tabs>
        <w:spacing w:after="0" w:line="240" w:lineRule="auto"/>
        <w:rPr>
          <w:rFonts w:ascii="Franklin Gothic Book" w:hAnsi="Franklin Gothic Book"/>
          <w:sz w:val="24"/>
          <w:szCs w:val="24"/>
        </w:rPr>
      </w:pPr>
      <w:r>
        <w:rPr>
          <w:rFonts w:ascii="Franklin Gothic Book" w:hAnsi="Franklin Gothic Book"/>
          <w:sz w:val="24"/>
          <w:szCs w:val="24"/>
        </w:rPr>
        <w:t xml:space="preserve"> </w:t>
      </w:r>
      <w:r w:rsidR="008D70C7" w:rsidRPr="008D70C7">
        <w:rPr>
          <w:rFonts w:ascii="Franklin Gothic Book" w:hAnsi="Franklin Gothic Book"/>
          <w:sz w:val="24"/>
          <w:szCs w:val="24"/>
        </w:rPr>
        <w:t xml:space="preserve">Necessary hospitalization (either inpatient or outpatient care) in connection with </w:t>
      </w:r>
    </w:p>
    <w:p w14:paraId="43A68075" w14:textId="77777777" w:rsidR="008D70C7" w:rsidRPr="008D70C7" w:rsidRDefault="008D70C7" w:rsidP="008D70C7">
      <w:pPr>
        <w:pStyle w:val="Heading1"/>
        <w:tabs>
          <w:tab w:val="center" w:pos="2088"/>
        </w:tabs>
        <w:spacing w:after="0" w:line="240" w:lineRule="auto"/>
        <w:ind w:left="-20" w:firstLine="0"/>
        <w:rPr>
          <w:rFonts w:ascii="Franklin Gothic Book" w:hAnsi="Franklin Gothic Book"/>
          <w:sz w:val="24"/>
          <w:szCs w:val="24"/>
        </w:rPr>
      </w:pPr>
      <w:r w:rsidRPr="008D70C7">
        <w:rPr>
          <w:rFonts w:ascii="Franklin Gothic Book" w:hAnsi="Franklin Gothic Book"/>
          <w:sz w:val="24"/>
          <w:szCs w:val="24"/>
        </w:rPr>
        <w:t xml:space="preserve">surgery or treatment and clinic </w:t>
      </w:r>
      <w:proofErr w:type="gramStart"/>
      <w:r w:rsidRPr="008D70C7">
        <w:rPr>
          <w:rFonts w:ascii="Franklin Gothic Book" w:hAnsi="Franklin Gothic Book"/>
          <w:sz w:val="24"/>
          <w:szCs w:val="24"/>
        </w:rPr>
        <w:t>services;</w:t>
      </w:r>
      <w:proofErr w:type="gramEnd"/>
      <w:r w:rsidRPr="008D70C7">
        <w:rPr>
          <w:rFonts w:ascii="Franklin Gothic Book" w:hAnsi="Franklin Gothic Book"/>
          <w:sz w:val="24"/>
          <w:szCs w:val="24"/>
        </w:rPr>
        <w:t xml:space="preserve"> </w:t>
      </w:r>
    </w:p>
    <w:p w14:paraId="659ACFE9" w14:textId="482E13B5" w:rsidR="008D70C7" w:rsidRPr="008D70C7" w:rsidRDefault="002F1CD9" w:rsidP="002F1CD9">
      <w:pPr>
        <w:pStyle w:val="Heading1"/>
        <w:numPr>
          <w:ilvl w:val="0"/>
          <w:numId w:val="5"/>
        </w:numPr>
        <w:tabs>
          <w:tab w:val="center" w:pos="2088"/>
        </w:tabs>
        <w:spacing w:after="0" w:line="240" w:lineRule="auto"/>
        <w:rPr>
          <w:rFonts w:ascii="Franklin Gothic Book" w:hAnsi="Franklin Gothic Book"/>
          <w:sz w:val="24"/>
          <w:szCs w:val="24"/>
        </w:rPr>
      </w:pPr>
      <w:r>
        <w:rPr>
          <w:rFonts w:ascii="Franklin Gothic Book" w:hAnsi="Franklin Gothic Book"/>
          <w:sz w:val="24"/>
          <w:szCs w:val="24"/>
        </w:rPr>
        <w:t xml:space="preserve"> </w:t>
      </w:r>
      <w:r w:rsidR="008D70C7" w:rsidRPr="008D70C7">
        <w:rPr>
          <w:rFonts w:ascii="Franklin Gothic Book" w:hAnsi="Franklin Gothic Book"/>
          <w:sz w:val="24"/>
          <w:szCs w:val="24"/>
        </w:rPr>
        <w:t xml:space="preserve">Prescription drugs and medical </w:t>
      </w:r>
      <w:proofErr w:type="gramStart"/>
      <w:r w:rsidR="008D70C7" w:rsidRPr="008D70C7">
        <w:rPr>
          <w:rFonts w:ascii="Franklin Gothic Book" w:hAnsi="Franklin Gothic Book"/>
          <w:sz w:val="24"/>
          <w:szCs w:val="24"/>
        </w:rPr>
        <w:t>supplies;</w:t>
      </w:r>
      <w:proofErr w:type="gramEnd"/>
      <w:r w:rsidR="008D70C7" w:rsidRPr="008D70C7">
        <w:rPr>
          <w:rFonts w:ascii="Franklin Gothic Book" w:hAnsi="Franklin Gothic Book"/>
          <w:sz w:val="24"/>
          <w:szCs w:val="24"/>
        </w:rPr>
        <w:t xml:space="preserve"> </w:t>
      </w:r>
    </w:p>
    <w:p w14:paraId="7F26FB74" w14:textId="42508585" w:rsidR="008D70C7" w:rsidRPr="008D70C7" w:rsidRDefault="002F1CD9" w:rsidP="002F1CD9">
      <w:pPr>
        <w:pStyle w:val="Heading1"/>
        <w:numPr>
          <w:ilvl w:val="0"/>
          <w:numId w:val="5"/>
        </w:numPr>
        <w:tabs>
          <w:tab w:val="center" w:pos="2088"/>
        </w:tabs>
        <w:spacing w:after="0" w:line="240" w:lineRule="auto"/>
        <w:rPr>
          <w:rFonts w:ascii="Franklin Gothic Book" w:hAnsi="Franklin Gothic Book"/>
          <w:sz w:val="24"/>
          <w:szCs w:val="24"/>
        </w:rPr>
      </w:pPr>
      <w:r>
        <w:rPr>
          <w:rFonts w:ascii="Franklin Gothic Book" w:hAnsi="Franklin Gothic Book"/>
          <w:sz w:val="24"/>
          <w:szCs w:val="24"/>
        </w:rPr>
        <w:t xml:space="preserve"> </w:t>
      </w:r>
      <w:r w:rsidR="008D70C7" w:rsidRPr="008D70C7">
        <w:rPr>
          <w:rFonts w:ascii="Franklin Gothic Book" w:hAnsi="Franklin Gothic Book"/>
          <w:sz w:val="24"/>
          <w:szCs w:val="24"/>
        </w:rPr>
        <w:t xml:space="preserve">Prosthetic, orthotic, or other assistive </w:t>
      </w:r>
      <w:proofErr w:type="gramStart"/>
      <w:r w:rsidR="008D70C7" w:rsidRPr="008D70C7">
        <w:rPr>
          <w:rFonts w:ascii="Franklin Gothic Book" w:hAnsi="Franklin Gothic Book"/>
          <w:sz w:val="24"/>
          <w:szCs w:val="24"/>
        </w:rPr>
        <w:t>devices;</w:t>
      </w:r>
      <w:proofErr w:type="gramEnd"/>
      <w:r w:rsidR="008D70C7" w:rsidRPr="008D70C7">
        <w:rPr>
          <w:rFonts w:ascii="Franklin Gothic Book" w:hAnsi="Franklin Gothic Book"/>
          <w:sz w:val="24"/>
          <w:szCs w:val="24"/>
        </w:rPr>
        <w:t xml:space="preserve"> </w:t>
      </w:r>
    </w:p>
    <w:p w14:paraId="15897ADE" w14:textId="60B287E4" w:rsidR="008D70C7" w:rsidRPr="008D70C7" w:rsidRDefault="002F1CD9" w:rsidP="002F1CD9">
      <w:pPr>
        <w:pStyle w:val="Heading1"/>
        <w:numPr>
          <w:ilvl w:val="0"/>
          <w:numId w:val="5"/>
        </w:numPr>
        <w:tabs>
          <w:tab w:val="center" w:pos="2088"/>
        </w:tabs>
        <w:spacing w:after="0" w:line="240" w:lineRule="auto"/>
        <w:rPr>
          <w:rFonts w:ascii="Franklin Gothic Book" w:hAnsi="Franklin Gothic Book"/>
          <w:sz w:val="24"/>
          <w:szCs w:val="24"/>
        </w:rPr>
      </w:pPr>
      <w:r>
        <w:rPr>
          <w:rFonts w:ascii="Franklin Gothic Book" w:hAnsi="Franklin Gothic Book"/>
          <w:sz w:val="24"/>
          <w:szCs w:val="24"/>
        </w:rPr>
        <w:t xml:space="preserve"> </w:t>
      </w:r>
      <w:r w:rsidR="008D70C7" w:rsidRPr="008D70C7">
        <w:rPr>
          <w:rFonts w:ascii="Franklin Gothic Book" w:hAnsi="Franklin Gothic Book"/>
          <w:sz w:val="24"/>
          <w:szCs w:val="24"/>
        </w:rPr>
        <w:t xml:space="preserve">Eyeglasses and visual services, including visual training, and the examination and </w:t>
      </w:r>
    </w:p>
    <w:p w14:paraId="563B5583" w14:textId="77777777" w:rsidR="008D70C7" w:rsidRPr="008D70C7" w:rsidRDefault="008D70C7" w:rsidP="008D70C7">
      <w:pPr>
        <w:pStyle w:val="Heading1"/>
        <w:tabs>
          <w:tab w:val="center" w:pos="2088"/>
        </w:tabs>
        <w:spacing w:after="0" w:line="240" w:lineRule="auto"/>
        <w:ind w:left="-20" w:firstLine="0"/>
        <w:rPr>
          <w:rFonts w:ascii="Franklin Gothic Book" w:hAnsi="Franklin Gothic Book"/>
          <w:sz w:val="24"/>
          <w:szCs w:val="24"/>
        </w:rPr>
      </w:pPr>
      <w:r w:rsidRPr="008D70C7">
        <w:rPr>
          <w:rFonts w:ascii="Franklin Gothic Book" w:hAnsi="Franklin Gothic Book"/>
          <w:sz w:val="24"/>
          <w:szCs w:val="24"/>
        </w:rPr>
        <w:t xml:space="preserve">services necessary for the prescription and provision of eyeglasses, contact lenses, </w:t>
      </w:r>
    </w:p>
    <w:p w14:paraId="3D4C6BA4" w14:textId="0618ED64" w:rsidR="008D70C7" w:rsidRPr="008D70C7" w:rsidRDefault="008D70C7" w:rsidP="008D70C7">
      <w:pPr>
        <w:pStyle w:val="Heading1"/>
        <w:tabs>
          <w:tab w:val="center" w:pos="2088"/>
        </w:tabs>
        <w:spacing w:after="0" w:line="240" w:lineRule="auto"/>
        <w:ind w:left="-20" w:firstLine="0"/>
        <w:rPr>
          <w:rFonts w:ascii="Franklin Gothic Book" w:hAnsi="Franklin Gothic Book"/>
          <w:sz w:val="24"/>
          <w:szCs w:val="24"/>
        </w:rPr>
      </w:pPr>
      <w:r w:rsidRPr="008D70C7">
        <w:rPr>
          <w:rFonts w:ascii="Franklin Gothic Book" w:hAnsi="Franklin Gothic Book"/>
          <w:sz w:val="24"/>
          <w:szCs w:val="24"/>
        </w:rPr>
        <w:t xml:space="preserve">microscopic lenses, telescopic lenses, and other special visual aids such as magnifiers </w:t>
      </w:r>
    </w:p>
    <w:p w14:paraId="37CA3F61" w14:textId="77777777" w:rsidR="008D70C7" w:rsidRPr="008D70C7" w:rsidRDefault="008D70C7" w:rsidP="008D70C7">
      <w:pPr>
        <w:pStyle w:val="Heading1"/>
        <w:tabs>
          <w:tab w:val="center" w:pos="2088"/>
        </w:tabs>
        <w:spacing w:after="0" w:line="240" w:lineRule="auto"/>
        <w:ind w:left="-20" w:firstLine="0"/>
        <w:rPr>
          <w:rFonts w:ascii="Franklin Gothic Book" w:hAnsi="Franklin Gothic Book"/>
          <w:sz w:val="24"/>
          <w:szCs w:val="24"/>
        </w:rPr>
      </w:pPr>
      <w:r w:rsidRPr="008D70C7">
        <w:rPr>
          <w:rFonts w:ascii="Franklin Gothic Book" w:hAnsi="Franklin Gothic Book"/>
          <w:sz w:val="24"/>
          <w:szCs w:val="24"/>
        </w:rPr>
        <w:t xml:space="preserve">and bioptics, prescribed by personnel that are qualified in accordance with State </w:t>
      </w:r>
    </w:p>
    <w:p w14:paraId="64EE4D0B" w14:textId="77777777" w:rsidR="008D70C7" w:rsidRPr="008D70C7" w:rsidRDefault="008D70C7" w:rsidP="008D70C7">
      <w:pPr>
        <w:pStyle w:val="Heading1"/>
        <w:tabs>
          <w:tab w:val="center" w:pos="2088"/>
        </w:tabs>
        <w:spacing w:after="0" w:line="240" w:lineRule="auto"/>
        <w:ind w:left="-20" w:firstLine="0"/>
        <w:rPr>
          <w:rFonts w:ascii="Franklin Gothic Book" w:hAnsi="Franklin Gothic Book"/>
          <w:sz w:val="24"/>
          <w:szCs w:val="24"/>
        </w:rPr>
      </w:pPr>
      <w:r w:rsidRPr="008D70C7">
        <w:rPr>
          <w:rFonts w:ascii="Franklin Gothic Book" w:hAnsi="Franklin Gothic Book"/>
          <w:sz w:val="24"/>
          <w:szCs w:val="24"/>
        </w:rPr>
        <w:t xml:space="preserve">licensure </w:t>
      </w:r>
      <w:proofErr w:type="gramStart"/>
      <w:r w:rsidRPr="008D70C7">
        <w:rPr>
          <w:rFonts w:ascii="Franklin Gothic Book" w:hAnsi="Franklin Gothic Book"/>
          <w:sz w:val="24"/>
          <w:szCs w:val="24"/>
        </w:rPr>
        <w:t>laws;</w:t>
      </w:r>
      <w:proofErr w:type="gramEnd"/>
      <w:r w:rsidRPr="008D70C7">
        <w:rPr>
          <w:rFonts w:ascii="Franklin Gothic Book" w:hAnsi="Franklin Gothic Book"/>
          <w:sz w:val="24"/>
          <w:szCs w:val="24"/>
        </w:rPr>
        <w:t xml:space="preserve"> </w:t>
      </w:r>
    </w:p>
    <w:p w14:paraId="250E92EA" w14:textId="10280CB3" w:rsidR="008D70C7" w:rsidRPr="008D70C7" w:rsidRDefault="002F1CD9" w:rsidP="002F1CD9">
      <w:pPr>
        <w:pStyle w:val="Heading1"/>
        <w:numPr>
          <w:ilvl w:val="0"/>
          <w:numId w:val="5"/>
        </w:numPr>
        <w:tabs>
          <w:tab w:val="center" w:pos="2088"/>
        </w:tabs>
        <w:spacing w:after="0" w:line="240" w:lineRule="auto"/>
        <w:rPr>
          <w:rFonts w:ascii="Franklin Gothic Book" w:hAnsi="Franklin Gothic Book"/>
          <w:sz w:val="24"/>
          <w:szCs w:val="24"/>
        </w:rPr>
      </w:pPr>
      <w:r>
        <w:rPr>
          <w:rFonts w:ascii="Franklin Gothic Book" w:hAnsi="Franklin Gothic Book"/>
          <w:sz w:val="24"/>
          <w:szCs w:val="24"/>
        </w:rPr>
        <w:t xml:space="preserve"> </w:t>
      </w:r>
      <w:proofErr w:type="gramStart"/>
      <w:r w:rsidR="008D70C7" w:rsidRPr="008D70C7">
        <w:rPr>
          <w:rFonts w:ascii="Franklin Gothic Book" w:hAnsi="Franklin Gothic Book"/>
          <w:sz w:val="24"/>
          <w:szCs w:val="24"/>
        </w:rPr>
        <w:t>Podiatry;</w:t>
      </w:r>
      <w:proofErr w:type="gramEnd"/>
      <w:r w:rsidR="008D70C7" w:rsidRPr="008D70C7">
        <w:rPr>
          <w:rFonts w:ascii="Franklin Gothic Book" w:hAnsi="Franklin Gothic Book"/>
          <w:sz w:val="24"/>
          <w:szCs w:val="24"/>
        </w:rPr>
        <w:t xml:space="preserve"> </w:t>
      </w:r>
    </w:p>
    <w:p w14:paraId="3B26CE69" w14:textId="11CEEFA1" w:rsidR="008D70C7" w:rsidRPr="008D70C7" w:rsidRDefault="002F1CD9" w:rsidP="002F1CD9">
      <w:pPr>
        <w:pStyle w:val="Heading1"/>
        <w:numPr>
          <w:ilvl w:val="0"/>
          <w:numId w:val="5"/>
        </w:numPr>
        <w:tabs>
          <w:tab w:val="center" w:pos="2088"/>
        </w:tabs>
        <w:spacing w:after="0" w:line="240" w:lineRule="auto"/>
        <w:rPr>
          <w:rFonts w:ascii="Franklin Gothic Book" w:hAnsi="Franklin Gothic Book"/>
          <w:sz w:val="24"/>
          <w:szCs w:val="24"/>
        </w:rPr>
      </w:pPr>
      <w:r>
        <w:rPr>
          <w:rFonts w:ascii="Franklin Gothic Book" w:hAnsi="Franklin Gothic Book"/>
          <w:sz w:val="24"/>
          <w:szCs w:val="24"/>
        </w:rPr>
        <w:t xml:space="preserve"> </w:t>
      </w:r>
      <w:r w:rsidR="008D70C7" w:rsidRPr="008D70C7">
        <w:rPr>
          <w:rFonts w:ascii="Franklin Gothic Book" w:hAnsi="Franklin Gothic Book"/>
          <w:sz w:val="24"/>
          <w:szCs w:val="24"/>
        </w:rPr>
        <w:t xml:space="preserve">Physical therapy; occupational </w:t>
      </w:r>
      <w:proofErr w:type="gramStart"/>
      <w:r w:rsidR="008D70C7" w:rsidRPr="008D70C7">
        <w:rPr>
          <w:rFonts w:ascii="Franklin Gothic Book" w:hAnsi="Franklin Gothic Book"/>
          <w:sz w:val="24"/>
          <w:szCs w:val="24"/>
        </w:rPr>
        <w:t>therap</w:t>
      </w:r>
      <w:r w:rsidR="003E0FF6">
        <w:rPr>
          <w:rFonts w:ascii="Franklin Gothic Book" w:hAnsi="Franklin Gothic Book"/>
          <w:sz w:val="24"/>
          <w:szCs w:val="24"/>
        </w:rPr>
        <w:t>ies</w:t>
      </w:r>
      <w:r w:rsidR="008D70C7" w:rsidRPr="008D70C7">
        <w:rPr>
          <w:rFonts w:ascii="Franklin Gothic Book" w:hAnsi="Franklin Gothic Book"/>
          <w:sz w:val="24"/>
          <w:szCs w:val="24"/>
        </w:rPr>
        <w:t>;</w:t>
      </w:r>
      <w:proofErr w:type="gramEnd"/>
      <w:r w:rsidR="008D70C7" w:rsidRPr="008D70C7">
        <w:rPr>
          <w:rFonts w:ascii="Franklin Gothic Book" w:hAnsi="Franklin Gothic Book"/>
          <w:sz w:val="24"/>
          <w:szCs w:val="24"/>
        </w:rPr>
        <w:t xml:space="preserve"> </w:t>
      </w:r>
    </w:p>
    <w:p w14:paraId="5AC95CD9" w14:textId="09668649" w:rsidR="008D70C7" w:rsidRPr="008D70C7" w:rsidRDefault="002F1CD9" w:rsidP="002F1CD9">
      <w:pPr>
        <w:pStyle w:val="Heading1"/>
        <w:numPr>
          <w:ilvl w:val="0"/>
          <w:numId w:val="5"/>
        </w:numPr>
        <w:tabs>
          <w:tab w:val="center" w:pos="2088"/>
        </w:tabs>
        <w:spacing w:after="0" w:line="240" w:lineRule="auto"/>
        <w:rPr>
          <w:rFonts w:ascii="Franklin Gothic Book" w:hAnsi="Franklin Gothic Book"/>
          <w:sz w:val="24"/>
          <w:szCs w:val="24"/>
        </w:rPr>
      </w:pPr>
      <w:r>
        <w:rPr>
          <w:rFonts w:ascii="Franklin Gothic Book" w:hAnsi="Franklin Gothic Book"/>
          <w:sz w:val="24"/>
          <w:szCs w:val="24"/>
        </w:rPr>
        <w:t xml:space="preserve"> </w:t>
      </w:r>
      <w:r w:rsidR="003E0FF6">
        <w:rPr>
          <w:rFonts w:ascii="Franklin Gothic Book" w:hAnsi="Franklin Gothic Book"/>
          <w:sz w:val="24"/>
          <w:szCs w:val="24"/>
        </w:rPr>
        <w:t>Vision, s</w:t>
      </w:r>
      <w:r w:rsidR="008D70C7" w:rsidRPr="008D70C7">
        <w:rPr>
          <w:rFonts w:ascii="Franklin Gothic Book" w:hAnsi="Franklin Gothic Book"/>
          <w:sz w:val="24"/>
          <w:szCs w:val="24"/>
        </w:rPr>
        <w:t xml:space="preserve">peech or hearing </w:t>
      </w:r>
      <w:proofErr w:type="gramStart"/>
      <w:r w:rsidR="008D70C7" w:rsidRPr="008D70C7">
        <w:rPr>
          <w:rFonts w:ascii="Franklin Gothic Book" w:hAnsi="Franklin Gothic Book"/>
          <w:sz w:val="24"/>
          <w:szCs w:val="24"/>
        </w:rPr>
        <w:t>therap</w:t>
      </w:r>
      <w:r w:rsidR="003E0FF6">
        <w:rPr>
          <w:rFonts w:ascii="Franklin Gothic Book" w:hAnsi="Franklin Gothic Book"/>
          <w:sz w:val="24"/>
          <w:szCs w:val="24"/>
        </w:rPr>
        <w:t>ies</w:t>
      </w:r>
      <w:r w:rsidR="008D70C7" w:rsidRPr="008D70C7">
        <w:rPr>
          <w:rFonts w:ascii="Franklin Gothic Book" w:hAnsi="Franklin Gothic Book"/>
          <w:sz w:val="24"/>
          <w:szCs w:val="24"/>
        </w:rPr>
        <w:t>;</w:t>
      </w:r>
      <w:proofErr w:type="gramEnd"/>
      <w:r w:rsidR="008D70C7" w:rsidRPr="008D70C7">
        <w:rPr>
          <w:rFonts w:ascii="Franklin Gothic Book" w:hAnsi="Franklin Gothic Book"/>
          <w:sz w:val="24"/>
          <w:szCs w:val="24"/>
        </w:rPr>
        <w:t xml:space="preserve"> </w:t>
      </w:r>
    </w:p>
    <w:p w14:paraId="79FBCE57" w14:textId="67B270E3" w:rsidR="008D70C7" w:rsidRPr="008D70C7" w:rsidRDefault="002F1CD9" w:rsidP="002F1CD9">
      <w:pPr>
        <w:pStyle w:val="Heading1"/>
        <w:numPr>
          <w:ilvl w:val="0"/>
          <w:numId w:val="5"/>
        </w:numPr>
        <w:tabs>
          <w:tab w:val="center" w:pos="2088"/>
        </w:tabs>
        <w:spacing w:after="0" w:line="240" w:lineRule="auto"/>
        <w:rPr>
          <w:rFonts w:ascii="Franklin Gothic Book" w:hAnsi="Franklin Gothic Book"/>
          <w:sz w:val="24"/>
          <w:szCs w:val="24"/>
        </w:rPr>
      </w:pPr>
      <w:r>
        <w:rPr>
          <w:rFonts w:ascii="Franklin Gothic Book" w:hAnsi="Franklin Gothic Book"/>
          <w:sz w:val="24"/>
          <w:szCs w:val="24"/>
        </w:rPr>
        <w:t xml:space="preserve"> </w:t>
      </w:r>
      <w:r w:rsidR="008D70C7" w:rsidRPr="008D70C7">
        <w:rPr>
          <w:rFonts w:ascii="Franklin Gothic Book" w:hAnsi="Franklin Gothic Book"/>
          <w:sz w:val="24"/>
          <w:szCs w:val="24"/>
        </w:rPr>
        <w:t xml:space="preserve">Treatment of either acute or chronic medical complications and emergencies that are </w:t>
      </w:r>
    </w:p>
    <w:p w14:paraId="4C27D3D2" w14:textId="77777777" w:rsidR="008D70C7" w:rsidRPr="008D70C7" w:rsidRDefault="008D70C7" w:rsidP="008D70C7">
      <w:pPr>
        <w:pStyle w:val="Heading1"/>
        <w:tabs>
          <w:tab w:val="center" w:pos="2088"/>
        </w:tabs>
        <w:spacing w:after="0" w:line="240" w:lineRule="auto"/>
        <w:ind w:left="-20" w:firstLine="0"/>
        <w:rPr>
          <w:rFonts w:ascii="Franklin Gothic Book" w:hAnsi="Franklin Gothic Book"/>
          <w:sz w:val="24"/>
          <w:szCs w:val="24"/>
        </w:rPr>
      </w:pPr>
      <w:r w:rsidRPr="008D70C7">
        <w:rPr>
          <w:rFonts w:ascii="Franklin Gothic Book" w:hAnsi="Franklin Gothic Book"/>
          <w:sz w:val="24"/>
          <w:szCs w:val="24"/>
        </w:rPr>
        <w:t xml:space="preserve">associated with or arise out of the provision of physical and mental restoration </w:t>
      </w:r>
    </w:p>
    <w:p w14:paraId="2EF5EEA4" w14:textId="77777777" w:rsidR="008D70C7" w:rsidRPr="008D70C7" w:rsidRDefault="008D70C7" w:rsidP="008D70C7">
      <w:pPr>
        <w:pStyle w:val="Heading1"/>
        <w:tabs>
          <w:tab w:val="center" w:pos="2088"/>
        </w:tabs>
        <w:spacing w:after="0" w:line="240" w:lineRule="auto"/>
        <w:ind w:left="-20" w:firstLine="0"/>
        <w:rPr>
          <w:rFonts w:ascii="Franklin Gothic Book" w:hAnsi="Franklin Gothic Book"/>
          <w:sz w:val="24"/>
          <w:szCs w:val="24"/>
        </w:rPr>
      </w:pPr>
      <w:r w:rsidRPr="008D70C7">
        <w:rPr>
          <w:rFonts w:ascii="Franklin Gothic Book" w:hAnsi="Franklin Gothic Book"/>
          <w:sz w:val="24"/>
          <w:szCs w:val="24"/>
        </w:rPr>
        <w:t xml:space="preserve">services, or that are inherent in the condition under </w:t>
      </w:r>
      <w:proofErr w:type="gramStart"/>
      <w:r w:rsidRPr="008D70C7">
        <w:rPr>
          <w:rFonts w:ascii="Franklin Gothic Book" w:hAnsi="Franklin Gothic Book"/>
          <w:sz w:val="24"/>
          <w:szCs w:val="24"/>
        </w:rPr>
        <w:t>treatment;</w:t>
      </w:r>
      <w:proofErr w:type="gramEnd"/>
      <w:r w:rsidRPr="008D70C7">
        <w:rPr>
          <w:rFonts w:ascii="Franklin Gothic Book" w:hAnsi="Franklin Gothic Book"/>
          <w:sz w:val="24"/>
          <w:szCs w:val="24"/>
        </w:rPr>
        <w:t xml:space="preserve"> </w:t>
      </w:r>
    </w:p>
    <w:p w14:paraId="2BD0CAC4" w14:textId="59971426" w:rsidR="008D70C7" w:rsidRPr="008D70C7" w:rsidRDefault="002F1CD9" w:rsidP="002F1CD9">
      <w:pPr>
        <w:pStyle w:val="Heading1"/>
        <w:numPr>
          <w:ilvl w:val="0"/>
          <w:numId w:val="5"/>
        </w:numPr>
        <w:tabs>
          <w:tab w:val="center" w:pos="2088"/>
        </w:tabs>
        <w:spacing w:after="0" w:line="240" w:lineRule="auto"/>
        <w:rPr>
          <w:rFonts w:ascii="Franklin Gothic Book" w:hAnsi="Franklin Gothic Book"/>
          <w:sz w:val="24"/>
          <w:szCs w:val="24"/>
        </w:rPr>
      </w:pPr>
      <w:r>
        <w:rPr>
          <w:rFonts w:ascii="Franklin Gothic Book" w:hAnsi="Franklin Gothic Book"/>
          <w:sz w:val="24"/>
          <w:szCs w:val="24"/>
        </w:rPr>
        <w:t xml:space="preserve"> </w:t>
      </w:r>
      <w:r w:rsidR="008D70C7" w:rsidRPr="008D70C7">
        <w:rPr>
          <w:rFonts w:ascii="Franklin Gothic Book" w:hAnsi="Franklin Gothic Book"/>
          <w:sz w:val="24"/>
          <w:szCs w:val="24"/>
        </w:rPr>
        <w:t xml:space="preserve">Special services for the treatment of individuals with end-stage renal disease, </w:t>
      </w:r>
    </w:p>
    <w:p w14:paraId="03FF9C18" w14:textId="77777777" w:rsidR="008D70C7" w:rsidRPr="008D70C7" w:rsidRDefault="008D70C7" w:rsidP="008D70C7">
      <w:pPr>
        <w:pStyle w:val="Heading1"/>
        <w:tabs>
          <w:tab w:val="center" w:pos="2088"/>
        </w:tabs>
        <w:spacing w:after="0" w:line="240" w:lineRule="auto"/>
        <w:ind w:left="-20" w:firstLine="0"/>
        <w:rPr>
          <w:rFonts w:ascii="Franklin Gothic Book" w:hAnsi="Franklin Gothic Book"/>
          <w:sz w:val="24"/>
          <w:szCs w:val="24"/>
        </w:rPr>
      </w:pPr>
      <w:r w:rsidRPr="008D70C7">
        <w:rPr>
          <w:rFonts w:ascii="Franklin Gothic Book" w:hAnsi="Franklin Gothic Book"/>
          <w:sz w:val="24"/>
          <w:szCs w:val="24"/>
        </w:rPr>
        <w:t xml:space="preserve">including transplantation, dialysis, artificial kidneys, and supplies; and </w:t>
      </w:r>
    </w:p>
    <w:p w14:paraId="001404DD" w14:textId="68EE7ED6" w:rsidR="008D70C7" w:rsidRDefault="002F1CD9" w:rsidP="002F1CD9">
      <w:pPr>
        <w:pStyle w:val="Heading1"/>
        <w:numPr>
          <w:ilvl w:val="0"/>
          <w:numId w:val="5"/>
        </w:numPr>
        <w:tabs>
          <w:tab w:val="center" w:pos="2088"/>
        </w:tabs>
        <w:spacing w:after="0" w:line="240" w:lineRule="auto"/>
        <w:rPr>
          <w:rFonts w:ascii="Franklin Gothic Book" w:hAnsi="Franklin Gothic Book"/>
          <w:sz w:val="24"/>
          <w:szCs w:val="24"/>
        </w:rPr>
      </w:pPr>
      <w:r>
        <w:rPr>
          <w:rFonts w:ascii="Franklin Gothic Book" w:hAnsi="Franklin Gothic Book"/>
          <w:sz w:val="24"/>
          <w:szCs w:val="24"/>
        </w:rPr>
        <w:t xml:space="preserve"> </w:t>
      </w:r>
      <w:r w:rsidR="008D70C7" w:rsidRPr="008D70C7">
        <w:rPr>
          <w:rFonts w:ascii="Franklin Gothic Book" w:hAnsi="Franklin Gothic Book"/>
          <w:sz w:val="24"/>
          <w:szCs w:val="24"/>
        </w:rPr>
        <w:t xml:space="preserve">Other medical or medically related rehabilitation services. </w:t>
      </w:r>
    </w:p>
    <w:p w14:paraId="10330B48" w14:textId="77777777" w:rsidR="008D70C7" w:rsidRPr="008D70C7" w:rsidRDefault="008D70C7" w:rsidP="001465E2">
      <w:pPr>
        <w:spacing w:line="240" w:lineRule="auto"/>
      </w:pPr>
    </w:p>
    <w:p w14:paraId="7B15A180" w14:textId="09132F2E" w:rsidR="002E1C02" w:rsidRDefault="00144998" w:rsidP="001465E2">
      <w:pPr>
        <w:pStyle w:val="Heading1"/>
        <w:tabs>
          <w:tab w:val="center" w:pos="2088"/>
        </w:tabs>
        <w:spacing w:line="240" w:lineRule="auto"/>
        <w:ind w:left="-20" w:firstLine="0"/>
      </w:pPr>
      <w:r>
        <w:rPr>
          <w:rFonts w:ascii="Franklin Gothic Medium" w:hAnsi="Franklin Gothic Medium"/>
        </w:rPr>
        <w:t>Section II.  General Guidance</w:t>
      </w:r>
      <w:r w:rsidR="004D7607">
        <w:t xml:space="preserve">  </w:t>
      </w:r>
    </w:p>
    <w:p w14:paraId="5D7F2F36" w14:textId="0ECF70D7" w:rsidR="00000C0E" w:rsidRDefault="001465E2" w:rsidP="001465E2">
      <w:pPr>
        <w:pStyle w:val="ListParagraph"/>
        <w:numPr>
          <w:ilvl w:val="0"/>
          <w:numId w:val="8"/>
        </w:numPr>
        <w:spacing w:line="240" w:lineRule="auto"/>
      </w:pPr>
      <w:r>
        <w:t xml:space="preserve">Health services may be provided to correct or substantially modify within a reasonable time a physical or mental condition which is stable or slowly progressive (based on findings from physical or psychological examinations) and which results in a substantial disability and a substantial impediment to employment.  Although all services defined above are permissible, the preponderance of services provided by </w:t>
      </w:r>
      <w:r>
        <w:lastRenderedPageBreak/>
        <w:t xml:space="preserve">DBVI will be related to sustaining, </w:t>
      </w:r>
      <w:proofErr w:type="gramStart"/>
      <w:r>
        <w:t>maximizing</w:t>
      </w:r>
      <w:proofErr w:type="gramEnd"/>
      <w:r>
        <w:t xml:space="preserve"> or substantially delaying the progressive loss of visual functioning.</w:t>
      </w:r>
    </w:p>
    <w:p w14:paraId="53E817B8" w14:textId="77777777" w:rsidR="001465E2" w:rsidRDefault="001465E2" w:rsidP="001465E2">
      <w:pPr>
        <w:spacing w:line="240" w:lineRule="auto"/>
        <w:ind w:left="360" w:firstLine="0"/>
      </w:pPr>
    </w:p>
    <w:p w14:paraId="742B941E" w14:textId="7756B198" w:rsidR="001465E2" w:rsidRDefault="001465E2" w:rsidP="001465E2">
      <w:pPr>
        <w:pStyle w:val="ListParagraph"/>
        <w:numPr>
          <w:ilvl w:val="0"/>
          <w:numId w:val="8"/>
        </w:numPr>
        <w:spacing w:line="240" w:lineRule="auto"/>
      </w:pPr>
      <w:r>
        <w:t>Audiological Aids</w:t>
      </w:r>
    </w:p>
    <w:p w14:paraId="7A57048E" w14:textId="3F3F6E68" w:rsidR="001465E2" w:rsidRDefault="001465E2" w:rsidP="001465E2">
      <w:pPr>
        <w:pStyle w:val="ListParagraph"/>
        <w:numPr>
          <w:ilvl w:val="1"/>
          <w:numId w:val="8"/>
        </w:numPr>
        <w:spacing w:line="240" w:lineRule="auto"/>
      </w:pPr>
      <w:r>
        <w:t>DBVI supports audiology services and hearing aid purchases provided through a certified clinical audiologist</w:t>
      </w:r>
      <w:r w:rsidR="00932DF8">
        <w:t>.</w:t>
      </w:r>
    </w:p>
    <w:p w14:paraId="7F7B5B6D" w14:textId="2074434B" w:rsidR="008017F2" w:rsidRDefault="008017F2" w:rsidP="008017F2">
      <w:pPr>
        <w:pStyle w:val="ListParagraph"/>
        <w:numPr>
          <w:ilvl w:val="1"/>
          <w:numId w:val="8"/>
        </w:numPr>
        <w:spacing w:line="240" w:lineRule="auto"/>
      </w:pPr>
      <w:r>
        <w:t>Hearing loss in the better ear must be 40 decibels or worse based on an average taken at 2000, 3000, 4000Hz or word recognition is poorer than 72 percent.</w:t>
      </w:r>
    </w:p>
    <w:p w14:paraId="32D292ED" w14:textId="1889FB84" w:rsidR="001465E2" w:rsidRDefault="001465E2" w:rsidP="001465E2">
      <w:pPr>
        <w:pStyle w:val="ListParagraph"/>
        <w:numPr>
          <w:ilvl w:val="1"/>
          <w:numId w:val="8"/>
        </w:numPr>
        <w:spacing w:line="240" w:lineRule="auto"/>
      </w:pPr>
      <w:r>
        <w:t xml:space="preserve">Hearing </w:t>
      </w:r>
      <w:proofErr w:type="spellStart"/>
      <w:r>
        <w:t>aides</w:t>
      </w:r>
      <w:proofErr w:type="spellEnd"/>
      <w:r>
        <w:t xml:space="preserve"> shall be purchased in accordance with a contract held by the State that includes a 45-day tr</w:t>
      </w:r>
      <w:r w:rsidR="004A1DFF">
        <w:t>i</w:t>
      </w:r>
      <w:r>
        <w:t>al period.</w:t>
      </w:r>
    </w:p>
    <w:p w14:paraId="40107745" w14:textId="52EB69C3" w:rsidR="001465E2" w:rsidRDefault="001465E2" w:rsidP="001465E2">
      <w:pPr>
        <w:pStyle w:val="ListParagraph"/>
        <w:numPr>
          <w:ilvl w:val="1"/>
          <w:numId w:val="8"/>
        </w:numPr>
        <w:spacing w:line="240" w:lineRule="auto"/>
      </w:pPr>
      <w:r>
        <w:t>Audiology services like evaluations, ear mold impressions and fitting fees not covered by other benefits shall be covered.</w:t>
      </w:r>
    </w:p>
    <w:p w14:paraId="2C453296" w14:textId="1AC5298E" w:rsidR="001465E2" w:rsidRDefault="001465E2" w:rsidP="001465E2">
      <w:pPr>
        <w:pStyle w:val="ListParagraph"/>
        <w:numPr>
          <w:ilvl w:val="1"/>
          <w:numId w:val="8"/>
        </w:numPr>
        <w:spacing w:line="240" w:lineRule="auto"/>
      </w:pPr>
      <w:r>
        <w:t>A warranty may be purchased for up to three years.</w:t>
      </w:r>
    </w:p>
    <w:p w14:paraId="72A8F36B" w14:textId="472E4C1D" w:rsidR="00932DF8" w:rsidRDefault="001465E2" w:rsidP="00932DF8">
      <w:pPr>
        <w:pStyle w:val="ListParagraph"/>
        <w:numPr>
          <w:ilvl w:val="1"/>
          <w:numId w:val="8"/>
        </w:numPr>
        <w:spacing w:line="240" w:lineRule="auto"/>
      </w:pPr>
      <w:r>
        <w:t>The individual shall be expected to provide his/her own subsequent hearing aids and batteries</w:t>
      </w:r>
      <w:r w:rsidR="00932DF8">
        <w:t>.</w:t>
      </w:r>
    </w:p>
    <w:p w14:paraId="562AC322" w14:textId="77777777" w:rsidR="00932DF8" w:rsidRDefault="00932DF8" w:rsidP="00932DF8">
      <w:pPr>
        <w:pStyle w:val="ListParagraph"/>
        <w:spacing w:line="240" w:lineRule="auto"/>
        <w:ind w:left="1440" w:firstLine="0"/>
      </w:pPr>
    </w:p>
    <w:p w14:paraId="73E3E0F8" w14:textId="2CAA33F2" w:rsidR="00932DF8" w:rsidRDefault="00932DF8" w:rsidP="00932DF8">
      <w:pPr>
        <w:pStyle w:val="ListParagraph"/>
        <w:numPr>
          <w:ilvl w:val="0"/>
          <w:numId w:val="8"/>
        </w:numPr>
        <w:spacing w:line="240" w:lineRule="auto"/>
      </w:pPr>
      <w:r>
        <w:t>The choice of the provider shall lie with the individual except in the case that:</w:t>
      </w:r>
    </w:p>
    <w:p w14:paraId="18979240" w14:textId="0877D5AF" w:rsidR="00932DF8" w:rsidRDefault="00932DF8" w:rsidP="00932DF8">
      <w:pPr>
        <w:pStyle w:val="ListParagraph"/>
        <w:numPr>
          <w:ilvl w:val="1"/>
          <w:numId w:val="8"/>
        </w:numPr>
        <w:spacing w:line="240" w:lineRule="auto"/>
      </w:pPr>
      <w:r>
        <w:t>The provider’s fee substantially exceeds others in the field; or</w:t>
      </w:r>
    </w:p>
    <w:p w14:paraId="262FA4C9" w14:textId="7CFAF95F" w:rsidR="00932DF8" w:rsidRDefault="00932DF8" w:rsidP="00932DF8">
      <w:pPr>
        <w:pStyle w:val="ListParagraph"/>
        <w:numPr>
          <w:ilvl w:val="1"/>
          <w:numId w:val="8"/>
        </w:numPr>
        <w:spacing w:line="240" w:lineRule="auto"/>
      </w:pPr>
      <w:r>
        <w:t>The provider refuses to accept payment from DBVI or from a comparable benefit such as Medicare.</w:t>
      </w:r>
    </w:p>
    <w:p w14:paraId="07E214CE" w14:textId="77777777" w:rsidR="009B182F" w:rsidRDefault="009B182F" w:rsidP="009B182F">
      <w:pPr>
        <w:pStyle w:val="ListParagraph"/>
        <w:spacing w:line="240" w:lineRule="auto"/>
        <w:ind w:firstLine="0"/>
      </w:pPr>
    </w:p>
    <w:p w14:paraId="433DA547" w14:textId="652642EB" w:rsidR="009B182F" w:rsidRDefault="009B182F" w:rsidP="009B182F">
      <w:pPr>
        <w:pStyle w:val="ListParagraph"/>
        <w:numPr>
          <w:ilvl w:val="0"/>
          <w:numId w:val="8"/>
        </w:numPr>
        <w:spacing w:line="240" w:lineRule="auto"/>
      </w:pPr>
      <w:r>
        <w:t xml:space="preserve">DBVI will only provide payment to licensed or registered practitioners for </w:t>
      </w:r>
      <w:proofErr w:type="gramStart"/>
      <w:r>
        <w:t>health related</w:t>
      </w:r>
      <w:proofErr w:type="gramEnd"/>
      <w:r>
        <w:t xml:space="preserve"> services, if state law requires licensure or registration of those practitioners who provide these services.</w:t>
      </w:r>
    </w:p>
    <w:p w14:paraId="3E6FE162" w14:textId="77777777" w:rsidR="009B182F" w:rsidRDefault="009B182F" w:rsidP="009B182F">
      <w:pPr>
        <w:pStyle w:val="ListParagraph"/>
        <w:spacing w:line="240" w:lineRule="auto"/>
        <w:ind w:firstLine="0"/>
      </w:pPr>
    </w:p>
    <w:p w14:paraId="36E89CE7" w14:textId="24377461" w:rsidR="002E1C02" w:rsidRDefault="004D7607" w:rsidP="000D33A2">
      <w:pPr>
        <w:pStyle w:val="Heading1"/>
        <w:ind w:left="-10"/>
        <w:rPr>
          <w:rFonts w:ascii="Franklin Gothic Medium" w:hAnsi="Franklin Gothic Medium"/>
        </w:rPr>
      </w:pPr>
      <w:r>
        <w:rPr>
          <w:noProof/>
        </w:rPr>
        <w:drawing>
          <wp:inline distT="0" distB="0" distL="0" distR="0" wp14:anchorId="2CE2041D" wp14:editId="75C491B1">
            <wp:extent cx="795528" cy="131064"/>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2"/>
                    <a:stretch>
                      <a:fillRect/>
                    </a:stretch>
                  </pic:blipFill>
                  <pic:spPr>
                    <a:xfrm>
                      <a:off x="0" y="0"/>
                      <a:ext cx="795528" cy="131064"/>
                    </a:xfrm>
                    <a:prstGeom prst="rect">
                      <a:avLst/>
                    </a:prstGeom>
                  </pic:spPr>
                </pic:pic>
              </a:graphicData>
            </a:graphic>
          </wp:inline>
        </w:drawing>
      </w:r>
      <w:r w:rsidR="003D13EF">
        <w:rPr>
          <w:rFonts w:ascii="Arial" w:eastAsia="Arial" w:hAnsi="Arial" w:cs="Arial"/>
        </w:rPr>
        <w:t xml:space="preserve">  </w:t>
      </w:r>
      <w:r w:rsidR="00144998">
        <w:rPr>
          <w:rFonts w:ascii="Franklin Gothic Medium" w:hAnsi="Franklin Gothic Medium"/>
        </w:rPr>
        <w:t>Spending and Related Guide</w:t>
      </w:r>
      <w:r w:rsidR="000D33A2">
        <w:rPr>
          <w:rFonts w:ascii="Franklin Gothic Medium" w:hAnsi="Franklin Gothic Medium"/>
        </w:rPr>
        <w:t>lines</w:t>
      </w:r>
    </w:p>
    <w:p w14:paraId="7E788114" w14:textId="2DAFDBAB" w:rsidR="005848AE" w:rsidRPr="007F1D7E" w:rsidRDefault="005848AE" w:rsidP="005848AE">
      <w:pPr>
        <w:pStyle w:val="ListParagraph"/>
        <w:numPr>
          <w:ilvl w:val="0"/>
          <w:numId w:val="9"/>
        </w:numPr>
        <w:rPr>
          <w:b/>
          <w:bCs/>
        </w:rPr>
      </w:pPr>
      <w:r>
        <w:t xml:space="preserve"> </w:t>
      </w:r>
      <w:r w:rsidRPr="007F1D7E">
        <w:rPr>
          <w:b/>
          <w:bCs/>
        </w:rPr>
        <w:t>Insurance</w:t>
      </w:r>
    </w:p>
    <w:p w14:paraId="4E8AE7EB" w14:textId="04303884" w:rsidR="005848AE" w:rsidRDefault="005848AE" w:rsidP="005848AE">
      <w:pPr>
        <w:pStyle w:val="ListParagraph"/>
        <w:numPr>
          <w:ilvl w:val="1"/>
          <w:numId w:val="9"/>
        </w:numPr>
      </w:pPr>
      <w:r>
        <w:t>For individuals without medical insurance, DBVI may pay 100% of the rate approved by Medicare for all services other than ophthalmologic and optometric services.  For ophthalmologic and optometric services, DBVI may pay 80% of the Medicare approved rate.</w:t>
      </w:r>
    </w:p>
    <w:p w14:paraId="48F4C3C5" w14:textId="4B616629" w:rsidR="005848AE" w:rsidRDefault="005848AE" w:rsidP="005848AE">
      <w:pPr>
        <w:pStyle w:val="ListParagraph"/>
        <w:numPr>
          <w:ilvl w:val="1"/>
          <w:numId w:val="9"/>
        </w:numPr>
      </w:pPr>
      <w:r>
        <w:t xml:space="preserve">For individuals with medical insurance, DBVI will not pay co-payments, </w:t>
      </w:r>
      <w:proofErr w:type="gramStart"/>
      <w:r>
        <w:t>deductibles</w:t>
      </w:r>
      <w:proofErr w:type="gramEnd"/>
      <w:r>
        <w:t xml:space="preserve"> or balances for covered medical services.</w:t>
      </w:r>
    </w:p>
    <w:p w14:paraId="72992036" w14:textId="42E64926" w:rsidR="005848AE" w:rsidRDefault="005848AE" w:rsidP="005848AE">
      <w:pPr>
        <w:pStyle w:val="ListParagraph"/>
        <w:numPr>
          <w:ilvl w:val="0"/>
          <w:numId w:val="9"/>
        </w:numPr>
      </w:pPr>
      <w:r w:rsidRPr="007F1D7E">
        <w:rPr>
          <w:b/>
          <w:bCs/>
        </w:rPr>
        <w:t>Diagnostic services</w:t>
      </w:r>
      <w:r>
        <w:t>, DBVI may pay 100% of the usual and customary billing rate for diagnostic services required to determine eligibility for DBVI services.</w:t>
      </w:r>
    </w:p>
    <w:p w14:paraId="17911285" w14:textId="55EC1C70" w:rsidR="005848AE" w:rsidRDefault="005848AE" w:rsidP="005848AE">
      <w:pPr>
        <w:pStyle w:val="ListParagraph"/>
        <w:numPr>
          <w:ilvl w:val="0"/>
          <w:numId w:val="9"/>
        </w:numPr>
      </w:pPr>
      <w:r w:rsidRPr="007F1D7E">
        <w:rPr>
          <w:b/>
          <w:bCs/>
        </w:rPr>
        <w:t xml:space="preserve">Hospitalization, corrective </w:t>
      </w:r>
      <w:proofErr w:type="gramStart"/>
      <w:r w:rsidRPr="007F1D7E">
        <w:rPr>
          <w:b/>
          <w:bCs/>
        </w:rPr>
        <w:t>surgery</w:t>
      </w:r>
      <w:proofErr w:type="gramEnd"/>
      <w:r w:rsidRPr="007F1D7E">
        <w:rPr>
          <w:b/>
          <w:bCs/>
        </w:rPr>
        <w:t xml:space="preserve"> or therapeutic treatment</w:t>
      </w:r>
      <w:r>
        <w:t>:</w:t>
      </w:r>
    </w:p>
    <w:p w14:paraId="63C2AF97" w14:textId="564817B0" w:rsidR="005848AE" w:rsidRDefault="005848AE" w:rsidP="005848AE">
      <w:pPr>
        <w:pStyle w:val="ListParagraph"/>
        <w:numPr>
          <w:ilvl w:val="1"/>
          <w:numId w:val="9"/>
        </w:numPr>
      </w:pPr>
      <w:r>
        <w:t>Inpatient physician and hospital services should not exceed $2,500 for each.</w:t>
      </w:r>
    </w:p>
    <w:p w14:paraId="26C19F32" w14:textId="7ECDFF98" w:rsidR="005848AE" w:rsidRDefault="005848AE" w:rsidP="005848AE">
      <w:pPr>
        <w:pStyle w:val="ListParagraph"/>
        <w:numPr>
          <w:ilvl w:val="1"/>
          <w:numId w:val="9"/>
        </w:numPr>
      </w:pPr>
      <w:r>
        <w:t>Outpatient services such as a back</w:t>
      </w:r>
      <w:r w:rsidR="00582584">
        <w:t>-</w:t>
      </w:r>
      <w:r>
        <w:t>pain program, physical or occupational therap</w:t>
      </w:r>
      <w:r w:rsidR="00582584">
        <w:t>ies</w:t>
      </w:r>
      <w:r>
        <w:t>, and ongoing physician services should not exceed $1,000.</w:t>
      </w:r>
    </w:p>
    <w:p w14:paraId="644AB699" w14:textId="3E189942" w:rsidR="005848AE" w:rsidRDefault="005848AE" w:rsidP="005848AE">
      <w:pPr>
        <w:pStyle w:val="ListParagraph"/>
        <w:numPr>
          <w:ilvl w:val="1"/>
          <w:numId w:val="9"/>
        </w:numPr>
      </w:pPr>
      <w:r>
        <w:t xml:space="preserve">Inpatient hospital care for a person without health insurance should not exceed $2,500 except for ophthalmologic care which may be provided at up </w:t>
      </w:r>
      <w:r>
        <w:lastRenderedPageBreak/>
        <w:t>to 80% of the Medicare rate for the same service; or as otherwise negotiated by DBVI.</w:t>
      </w:r>
    </w:p>
    <w:p w14:paraId="50BC49D3" w14:textId="4A759498" w:rsidR="00C07690" w:rsidRDefault="00C07690" w:rsidP="00C07690">
      <w:pPr>
        <w:pStyle w:val="ListParagraph"/>
        <w:numPr>
          <w:ilvl w:val="0"/>
          <w:numId w:val="9"/>
        </w:numPr>
      </w:pPr>
      <w:r w:rsidRPr="007F1D7E">
        <w:rPr>
          <w:b/>
          <w:bCs/>
        </w:rPr>
        <w:t>Diagnosis and treatment for mental or emotional disorders</w:t>
      </w:r>
      <w:r>
        <w:t xml:space="preserve"> should not exceed:</w:t>
      </w:r>
    </w:p>
    <w:p w14:paraId="1BD2698E" w14:textId="75B03822" w:rsidR="00C07690" w:rsidRDefault="00C07690" w:rsidP="00C07690">
      <w:pPr>
        <w:pStyle w:val="ListParagraph"/>
        <w:numPr>
          <w:ilvl w:val="1"/>
          <w:numId w:val="9"/>
        </w:numPr>
      </w:pPr>
      <w:r>
        <w:t xml:space="preserve">With a licensed psychologist, licensed clinical social worker, or other professionals with comparable credentials, $100/session up to $1,000 </w:t>
      </w:r>
      <w:proofErr w:type="gramStart"/>
      <w:r>
        <w:t>total;</w:t>
      </w:r>
      <w:proofErr w:type="gramEnd"/>
    </w:p>
    <w:p w14:paraId="046671AF" w14:textId="281E03A6" w:rsidR="00C07690" w:rsidRDefault="00C07690" w:rsidP="00C07690">
      <w:pPr>
        <w:pStyle w:val="ListParagraph"/>
        <w:numPr>
          <w:ilvl w:val="1"/>
          <w:numId w:val="9"/>
        </w:numPr>
      </w:pPr>
      <w:r>
        <w:t xml:space="preserve">With a psychiatrist, $130/session or $1,300 </w:t>
      </w:r>
      <w:proofErr w:type="gramStart"/>
      <w:r>
        <w:t>to</w:t>
      </w:r>
      <w:r w:rsidR="00AC6BED">
        <w:t>t</w:t>
      </w:r>
      <w:r>
        <w:t>al;</w:t>
      </w:r>
      <w:proofErr w:type="gramEnd"/>
    </w:p>
    <w:p w14:paraId="31BD3911" w14:textId="221AD4A0" w:rsidR="00C07690" w:rsidRDefault="00AC6BED" w:rsidP="00C07690">
      <w:pPr>
        <w:pStyle w:val="ListParagraph"/>
        <w:numPr>
          <w:ilvl w:val="1"/>
          <w:numId w:val="9"/>
        </w:numPr>
      </w:pPr>
      <w:r>
        <w:t>Such services should be limited to 10 sessions initially, but additional sessions can be considered based on individual need.</w:t>
      </w:r>
    </w:p>
    <w:p w14:paraId="7A5BC920" w14:textId="2DC29A95" w:rsidR="00AC6BED" w:rsidRPr="007F1D7E" w:rsidRDefault="00AC6BED" w:rsidP="00AC6BED">
      <w:pPr>
        <w:pStyle w:val="ListParagraph"/>
        <w:numPr>
          <w:ilvl w:val="0"/>
          <w:numId w:val="9"/>
        </w:numPr>
        <w:rPr>
          <w:b/>
          <w:bCs/>
        </w:rPr>
      </w:pPr>
      <w:r w:rsidRPr="007F1D7E">
        <w:rPr>
          <w:b/>
          <w:bCs/>
        </w:rPr>
        <w:t>Dentistry</w:t>
      </w:r>
    </w:p>
    <w:p w14:paraId="1DB1097E" w14:textId="69434414" w:rsidR="00AC6BED" w:rsidRDefault="00AC6BED" w:rsidP="00AC6BED">
      <w:pPr>
        <w:pStyle w:val="ListParagraph"/>
        <w:numPr>
          <w:ilvl w:val="1"/>
          <w:numId w:val="9"/>
        </w:numPr>
      </w:pPr>
      <w:r>
        <w:t>Dental work (i.e. fillings, extractions, etc.) should not exceed $750 for all.</w:t>
      </w:r>
    </w:p>
    <w:p w14:paraId="54979DD0" w14:textId="5A606351" w:rsidR="00AC6BED" w:rsidRDefault="00AC6BED" w:rsidP="00AC6BED">
      <w:pPr>
        <w:pStyle w:val="ListParagraph"/>
        <w:numPr>
          <w:ilvl w:val="1"/>
          <w:numId w:val="9"/>
        </w:numPr>
      </w:pPr>
      <w:r>
        <w:t>Dentures (full or partial) should not exceed $600 per plate or $1,200 for upper and lower plates.</w:t>
      </w:r>
    </w:p>
    <w:p w14:paraId="3ECEEFB2" w14:textId="2BB0F24E" w:rsidR="00AC6BED" w:rsidRDefault="00AC6BED" w:rsidP="00AC6BED">
      <w:pPr>
        <w:pStyle w:val="ListParagraph"/>
        <w:numPr>
          <w:ilvl w:val="1"/>
          <w:numId w:val="9"/>
        </w:numPr>
      </w:pPr>
      <w:r>
        <w:t>If a person needs dental work (up to $750) and both upper and lower plates (up to $600 each), up to $1,950 may be authorized.</w:t>
      </w:r>
    </w:p>
    <w:p w14:paraId="5DB69CEC" w14:textId="51216F16" w:rsidR="00AC6BED" w:rsidRDefault="00AC6BED" w:rsidP="00AC6BED">
      <w:pPr>
        <w:pStyle w:val="ListParagraph"/>
        <w:numPr>
          <w:ilvl w:val="0"/>
          <w:numId w:val="9"/>
        </w:numPr>
      </w:pPr>
      <w:r w:rsidRPr="007F1D7E">
        <w:rPr>
          <w:b/>
          <w:bCs/>
        </w:rPr>
        <w:t>Nursing Services</w:t>
      </w:r>
      <w:r>
        <w:t xml:space="preserve"> should not exceed $35 per hour for up to 20 hours.</w:t>
      </w:r>
    </w:p>
    <w:p w14:paraId="0AAF929C" w14:textId="7BAF292C" w:rsidR="00AC6BED" w:rsidRDefault="00741DBA" w:rsidP="00AC6BED">
      <w:pPr>
        <w:pStyle w:val="ListParagraph"/>
        <w:numPr>
          <w:ilvl w:val="0"/>
          <w:numId w:val="9"/>
        </w:numPr>
      </w:pPr>
      <w:r w:rsidRPr="007F1D7E">
        <w:rPr>
          <w:b/>
          <w:bCs/>
        </w:rPr>
        <w:t>Physical or occupational therap</w:t>
      </w:r>
      <w:r w:rsidR="007F1D7E">
        <w:rPr>
          <w:b/>
          <w:bCs/>
        </w:rPr>
        <w:t>ies</w:t>
      </w:r>
      <w:r>
        <w:t xml:space="preserve"> should not exceed $1,000.</w:t>
      </w:r>
    </w:p>
    <w:p w14:paraId="63E28092" w14:textId="390890C2" w:rsidR="00741DBA" w:rsidRDefault="00741DBA" w:rsidP="00AC6BED">
      <w:pPr>
        <w:pStyle w:val="ListParagraph"/>
        <w:numPr>
          <w:ilvl w:val="0"/>
          <w:numId w:val="9"/>
        </w:numPr>
      </w:pPr>
      <w:r w:rsidRPr="007F1D7E">
        <w:rPr>
          <w:b/>
          <w:bCs/>
        </w:rPr>
        <w:t>Physicians’ services</w:t>
      </w:r>
      <w:r>
        <w:t xml:space="preserve"> should not exceed 80% of the approved Medicare rate for the </w:t>
      </w:r>
      <w:proofErr w:type="gramStart"/>
      <w:r>
        <w:t>particular service</w:t>
      </w:r>
      <w:proofErr w:type="gramEnd"/>
      <w:r>
        <w:t xml:space="preserve"> for ophthalmologic treatment and 100% of the approved Medicare rate for other physician services.</w:t>
      </w:r>
    </w:p>
    <w:p w14:paraId="18A626AA" w14:textId="3BB466E7" w:rsidR="00741DBA" w:rsidRDefault="00741DBA" w:rsidP="00AC6BED">
      <w:pPr>
        <w:pStyle w:val="ListParagraph"/>
        <w:numPr>
          <w:ilvl w:val="0"/>
          <w:numId w:val="9"/>
        </w:numPr>
      </w:pPr>
      <w:r w:rsidRPr="007F1D7E">
        <w:rPr>
          <w:b/>
          <w:bCs/>
        </w:rPr>
        <w:t>Prescription drugs and medical supplies</w:t>
      </w:r>
      <w:r>
        <w:t xml:space="preserve"> should not exceed $500 for the life of the case.</w:t>
      </w:r>
    </w:p>
    <w:p w14:paraId="12DC8815" w14:textId="389D23C3" w:rsidR="00741DBA" w:rsidRDefault="00741DBA" w:rsidP="00AC6BED">
      <w:pPr>
        <w:pStyle w:val="ListParagraph"/>
        <w:numPr>
          <w:ilvl w:val="0"/>
          <w:numId w:val="9"/>
        </w:numPr>
      </w:pPr>
      <w:r w:rsidRPr="007F1D7E">
        <w:rPr>
          <w:b/>
          <w:bCs/>
        </w:rPr>
        <w:t>DBVI’s share for hearing aids, prosthetics, orthotics, wheelchairs, etc.,</w:t>
      </w:r>
      <w:r>
        <w:t xml:space="preserve"> should not exceed:</w:t>
      </w:r>
    </w:p>
    <w:p w14:paraId="7F71BC57" w14:textId="0A2D1AA9" w:rsidR="00741DBA" w:rsidRDefault="00741DBA" w:rsidP="00741DBA">
      <w:pPr>
        <w:pStyle w:val="ListParagraph"/>
        <w:numPr>
          <w:ilvl w:val="1"/>
          <w:numId w:val="9"/>
        </w:numPr>
      </w:pPr>
      <w:r>
        <w:t>$850 per hearing aid</w:t>
      </w:r>
      <w:r w:rsidR="00360311">
        <w:t xml:space="preserve">, </w:t>
      </w:r>
      <w:r w:rsidR="00F3397A">
        <w:t xml:space="preserve">plus </w:t>
      </w:r>
      <w:r w:rsidR="00360311">
        <w:t>up to 3</w:t>
      </w:r>
      <w:r w:rsidR="00357A54">
        <w:t>-</w:t>
      </w:r>
      <w:r w:rsidR="00360311">
        <w:t>year warranty,</w:t>
      </w:r>
      <w:r w:rsidR="00F3397A">
        <w:t xml:space="preserve"> fitting fees, ear mold impressions and hearing evaluations </w:t>
      </w:r>
      <w:r w:rsidR="009D0343">
        <w:t xml:space="preserve">are </w:t>
      </w:r>
      <w:r w:rsidR="00F3397A">
        <w:t>paid in full.</w:t>
      </w:r>
      <w:r w:rsidR="00360311">
        <w:t xml:space="preserve"> </w:t>
      </w:r>
    </w:p>
    <w:p w14:paraId="6145FB7E" w14:textId="6EDB5394" w:rsidR="00741DBA" w:rsidRDefault="00741DBA" w:rsidP="00741DBA">
      <w:pPr>
        <w:pStyle w:val="ListParagraph"/>
        <w:numPr>
          <w:ilvl w:val="1"/>
          <w:numId w:val="9"/>
        </w:numPr>
      </w:pPr>
      <w:r>
        <w:t xml:space="preserve">$3,500 for a prosthetic </w:t>
      </w:r>
      <w:proofErr w:type="gramStart"/>
      <w:r>
        <w:t>device;</w:t>
      </w:r>
      <w:proofErr w:type="gramEnd"/>
    </w:p>
    <w:p w14:paraId="6F2251BE" w14:textId="0400EF20" w:rsidR="00741DBA" w:rsidRDefault="00741DBA" w:rsidP="00741DBA">
      <w:pPr>
        <w:pStyle w:val="ListParagraph"/>
        <w:numPr>
          <w:ilvl w:val="1"/>
          <w:numId w:val="9"/>
        </w:numPr>
      </w:pPr>
      <w:r>
        <w:t xml:space="preserve">$1,500 or an orthotic </w:t>
      </w:r>
      <w:proofErr w:type="gramStart"/>
      <w:r>
        <w:t>device;</w:t>
      </w:r>
      <w:proofErr w:type="gramEnd"/>
    </w:p>
    <w:p w14:paraId="11D9EEC0" w14:textId="1918B431" w:rsidR="00741DBA" w:rsidRDefault="00741DBA" w:rsidP="00741DBA">
      <w:pPr>
        <w:pStyle w:val="ListParagraph"/>
        <w:numPr>
          <w:ilvl w:val="1"/>
          <w:numId w:val="9"/>
        </w:numPr>
      </w:pPr>
      <w:r>
        <w:t>$1,500 for a manually operated wheelchair; $6,000 for a power wheelchair including extra options.</w:t>
      </w:r>
    </w:p>
    <w:p w14:paraId="63C58681" w14:textId="0B801560" w:rsidR="009C019D" w:rsidRDefault="009C019D" w:rsidP="009C019D">
      <w:pPr>
        <w:pStyle w:val="ListParagraph"/>
        <w:numPr>
          <w:ilvl w:val="0"/>
          <w:numId w:val="9"/>
        </w:numPr>
      </w:pPr>
      <w:r w:rsidRPr="007F1D7E">
        <w:rPr>
          <w:b/>
          <w:bCs/>
        </w:rPr>
        <w:t>Eyeglasses and low vision aids</w:t>
      </w:r>
      <w:r>
        <w:t>:</w:t>
      </w:r>
    </w:p>
    <w:p w14:paraId="4BC0AFC8" w14:textId="75AB596D" w:rsidR="009C019D" w:rsidRDefault="009C019D" w:rsidP="009C019D">
      <w:pPr>
        <w:pStyle w:val="ListParagraph"/>
        <w:numPr>
          <w:ilvl w:val="1"/>
          <w:numId w:val="9"/>
        </w:numPr>
      </w:pPr>
      <w:r>
        <w:t>Examination for eyeglasses should not exceed $100.</w:t>
      </w:r>
    </w:p>
    <w:p w14:paraId="4992B2E4" w14:textId="4CE46676" w:rsidR="009C019D" w:rsidRDefault="009C019D" w:rsidP="009C019D">
      <w:pPr>
        <w:pStyle w:val="ListParagraph"/>
        <w:numPr>
          <w:ilvl w:val="1"/>
          <w:numId w:val="9"/>
        </w:numPr>
      </w:pPr>
      <w:r>
        <w:t>Lenses and contact lenses – full cost may be provided as prescribed.</w:t>
      </w:r>
    </w:p>
    <w:p w14:paraId="713B90A2" w14:textId="74298D75" w:rsidR="009C019D" w:rsidRDefault="009C019D" w:rsidP="009C019D">
      <w:pPr>
        <w:pStyle w:val="ListParagraph"/>
        <w:numPr>
          <w:ilvl w:val="1"/>
          <w:numId w:val="9"/>
        </w:numPr>
      </w:pPr>
      <w:r>
        <w:t>Frames – not more than $100 should be provided.</w:t>
      </w:r>
    </w:p>
    <w:p w14:paraId="7924C334" w14:textId="66E4728F" w:rsidR="009C019D" w:rsidRDefault="009C019D" w:rsidP="009C019D">
      <w:pPr>
        <w:pStyle w:val="ListParagraph"/>
        <w:numPr>
          <w:ilvl w:val="1"/>
          <w:numId w:val="9"/>
        </w:numPr>
      </w:pPr>
      <w:r>
        <w:t>Low vision examination should not be less than $150.</w:t>
      </w:r>
    </w:p>
    <w:p w14:paraId="650BCF4F" w14:textId="1D8EB87F" w:rsidR="009C019D" w:rsidRDefault="002A47E6" w:rsidP="009C019D">
      <w:pPr>
        <w:pStyle w:val="ListParagraph"/>
        <w:numPr>
          <w:ilvl w:val="1"/>
          <w:numId w:val="9"/>
        </w:numPr>
      </w:pPr>
      <w:r>
        <w:t>Biopics</w:t>
      </w:r>
      <w:r w:rsidR="009C019D">
        <w:t xml:space="preserve"> – full cost as prescribed.</w:t>
      </w:r>
    </w:p>
    <w:p w14:paraId="3A3B8D24" w14:textId="14C36717" w:rsidR="009C019D" w:rsidRDefault="009C019D" w:rsidP="009C019D">
      <w:pPr>
        <w:pStyle w:val="ListParagraph"/>
        <w:numPr>
          <w:ilvl w:val="0"/>
          <w:numId w:val="9"/>
        </w:numPr>
      </w:pPr>
      <w:r w:rsidRPr="007F1D7E">
        <w:rPr>
          <w:b/>
          <w:bCs/>
        </w:rPr>
        <w:t>Podiatry treatment</w:t>
      </w:r>
      <w:r>
        <w:t xml:space="preserve"> should not exceed $250.</w:t>
      </w:r>
    </w:p>
    <w:p w14:paraId="2756AAC2" w14:textId="086F035D" w:rsidR="009C019D" w:rsidRDefault="009C019D" w:rsidP="009C019D">
      <w:pPr>
        <w:pStyle w:val="ListParagraph"/>
        <w:numPr>
          <w:ilvl w:val="0"/>
          <w:numId w:val="9"/>
        </w:numPr>
      </w:pPr>
      <w:r w:rsidRPr="007F1D7E">
        <w:rPr>
          <w:b/>
          <w:bCs/>
        </w:rPr>
        <w:t xml:space="preserve">Vision, </w:t>
      </w:r>
      <w:proofErr w:type="gramStart"/>
      <w:r w:rsidRPr="007F1D7E">
        <w:rPr>
          <w:b/>
          <w:bCs/>
        </w:rPr>
        <w:t>speech</w:t>
      </w:r>
      <w:proofErr w:type="gramEnd"/>
      <w:r w:rsidRPr="007F1D7E">
        <w:rPr>
          <w:b/>
          <w:bCs/>
        </w:rPr>
        <w:t xml:space="preserve"> or hearing therap</w:t>
      </w:r>
      <w:r w:rsidR="007F1D7E">
        <w:rPr>
          <w:b/>
          <w:bCs/>
        </w:rPr>
        <w:t>ies</w:t>
      </w:r>
      <w:r>
        <w:t xml:space="preserve"> should not exceed $1,500.</w:t>
      </w:r>
    </w:p>
    <w:p w14:paraId="1235CF25" w14:textId="0936CCDD" w:rsidR="009C019D" w:rsidRDefault="009C019D" w:rsidP="009C019D">
      <w:pPr>
        <w:pStyle w:val="ListParagraph"/>
        <w:numPr>
          <w:ilvl w:val="0"/>
          <w:numId w:val="9"/>
        </w:numPr>
      </w:pPr>
      <w:r w:rsidRPr="009C38B2">
        <w:rPr>
          <w:b/>
          <w:bCs/>
        </w:rPr>
        <w:t>Treatment of acute or chronic complications</w:t>
      </w:r>
      <w:r>
        <w:t xml:space="preserve"> associated with other health services or conditions should not exceed $500.</w:t>
      </w:r>
    </w:p>
    <w:p w14:paraId="165DFFAC" w14:textId="40B0240C" w:rsidR="009C019D" w:rsidRDefault="009C019D" w:rsidP="009C019D">
      <w:pPr>
        <w:pStyle w:val="ListParagraph"/>
        <w:numPr>
          <w:ilvl w:val="0"/>
          <w:numId w:val="9"/>
        </w:numPr>
      </w:pPr>
      <w:r w:rsidRPr="009C38B2">
        <w:rPr>
          <w:b/>
          <w:bCs/>
        </w:rPr>
        <w:t>End state renal disease</w:t>
      </w:r>
      <w:r>
        <w:t>, including transplantation, should not exceed $2,500.</w:t>
      </w:r>
    </w:p>
    <w:p w14:paraId="4063B208" w14:textId="2C5974BE" w:rsidR="009C019D" w:rsidRDefault="009C019D" w:rsidP="009C019D">
      <w:pPr>
        <w:pStyle w:val="ListParagraph"/>
        <w:numPr>
          <w:ilvl w:val="0"/>
          <w:numId w:val="9"/>
        </w:numPr>
      </w:pPr>
      <w:r w:rsidRPr="009C38B2">
        <w:rPr>
          <w:b/>
          <w:bCs/>
        </w:rPr>
        <w:t>Other medically related rehabilitation services</w:t>
      </w:r>
      <w:r>
        <w:t xml:space="preserve"> should not exceed $90 per session or total of $900.</w:t>
      </w:r>
    </w:p>
    <w:p w14:paraId="7EE06F5E" w14:textId="44636C1E" w:rsidR="009C019D" w:rsidRPr="009C38B2" w:rsidRDefault="009C019D" w:rsidP="009C019D">
      <w:pPr>
        <w:pStyle w:val="ListParagraph"/>
        <w:numPr>
          <w:ilvl w:val="0"/>
          <w:numId w:val="9"/>
        </w:numPr>
        <w:rPr>
          <w:b/>
          <w:bCs/>
        </w:rPr>
      </w:pPr>
      <w:r w:rsidRPr="009C38B2">
        <w:rPr>
          <w:b/>
          <w:bCs/>
        </w:rPr>
        <w:t>Related notes:</w:t>
      </w:r>
    </w:p>
    <w:p w14:paraId="35379A5C" w14:textId="39CCA74B" w:rsidR="009C019D" w:rsidRDefault="009C019D" w:rsidP="009C019D">
      <w:pPr>
        <w:pStyle w:val="ListParagraph"/>
        <w:numPr>
          <w:ilvl w:val="1"/>
          <w:numId w:val="9"/>
        </w:numPr>
      </w:pPr>
      <w:r>
        <w:lastRenderedPageBreak/>
        <w:t>DBVI may pay the usual and customary fee for services that do not have a Medicare approved rate unless there are alternative rates which have been negotiated with specific vendors, (i.e. hospitals).  If a fee appears extraordinary, the counselor will discuss the fee with the Director or designee prior to payment.  Any service provided out-of-state may be purchased at the rate payable by the comparable agency in that state i.e. Massachusetts Commission for</w:t>
      </w:r>
      <w:r w:rsidR="00870E03">
        <w:t xml:space="preserve"> </w:t>
      </w:r>
      <w:r>
        <w:t>the Blind.</w:t>
      </w:r>
    </w:p>
    <w:p w14:paraId="7B3AA83B" w14:textId="42119D84" w:rsidR="00870E03" w:rsidRDefault="00870E03" w:rsidP="009C019D">
      <w:pPr>
        <w:pStyle w:val="ListParagraph"/>
        <w:numPr>
          <w:ilvl w:val="1"/>
          <w:numId w:val="9"/>
        </w:numPr>
      </w:pPr>
      <w:r>
        <w:t>Experimental surgery or medications for medical diagnostic and evaluation services conducted principally for research shall not be provided.</w:t>
      </w:r>
    </w:p>
    <w:p w14:paraId="48A67C01" w14:textId="77777777" w:rsidR="00414EB3" w:rsidRDefault="00870E03" w:rsidP="009C019D">
      <w:pPr>
        <w:pStyle w:val="ListParagraph"/>
        <w:numPr>
          <w:ilvl w:val="1"/>
          <w:numId w:val="9"/>
        </w:numPr>
      </w:pPr>
      <w:r>
        <w:t xml:space="preserve">Any single or combination of health services should not exceed $10,000 unless </w:t>
      </w:r>
      <w:proofErr w:type="spellStart"/>
      <w:r>
        <w:t>and</w:t>
      </w:r>
      <w:proofErr w:type="spellEnd"/>
      <w:r>
        <w:t xml:space="preserve"> exception is granted by the Director or designee.  Standards for</w:t>
      </w:r>
      <w:r w:rsidR="00414EB3">
        <w:t xml:space="preserve"> exceptions to the spending and duration guidelines are:</w:t>
      </w:r>
    </w:p>
    <w:p w14:paraId="189A461F" w14:textId="77777777" w:rsidR="00414EB3" w:rsidRDefault="00414EB3" w:rsidP="00414EB3">
      <w:pPr>
        <w:pStyle w:val="ListParagraph"/>
        <w:numPr>
          <w:ilvl w:val="2"/>
          <w:numId w:val="9"/>
        </w:numPr>
      </w:pPr>
      <w:r>
        <w:t xml:space="preserve">Comparable services and benefits have been </w:t>
      </w:r>
      <w:proofErr w:type="gramStart"/>
      <w:r>
        <w:t>exhausted;</w:t>
      </w:r>
      <w:proofErr w:type="gramEnd"/>
    </w:p>
    <w:p w14:paraId="4AC5A3F6" w14:textId="50B7C39A" w:rsidR="00414EB3" w:rsidRDefault="00414EB3" w:rsidP="00414EB3">
      <w:pPr>
        <w:pStyle w:val="ListParagraph"/>
        <w:numPr>
          <w:ilvl w:val="2"/>
          <w:numId w:val="9"/>
        </w:numPr>
      </w:pPr>
      <w:r>
        <w:t xml:space="preserve">The individual’s resources have been used to the maximum extent possible given the individuals’ income and </w:t>
      </w:r>
      <w:proofErr w:type="gramStart"/>
      <w:r>
        <w:t>expenses;</w:t>
      </w:r>
      <w:proofErr w:type="gramEnd"/>
    </w:p>
    <w:p w14:paraId="1C2B13BB" w14:textId="77777777" w:rsidR="00414EB3" w:rsidRDefault="00414EB3" w:rsidP="00414EB3">
      <w:pPr>
        <w:pStyle w:val="ListParagraph"/>
        <w:numPr>
          <w:ilvl w:val="2"/>
          <w:numId w:val="9"/>
        </w:numPr>
      </w:pPr>
      <w:r>
        <w:t xml:space="preserve">A monthly payment schedule for the unmet need would be unrealistic in view of costs related to the disability and projected earning </w:t>
      </w:r>
      <w:proofErr w:type="gramStart"/>
      <w:r>
        <w:t>capacity;</w:t>
      </w:r>
      <w:proofErr w:type="gramEnd"/>
    </w:p>
    <w:p w14:paraId="5390B47C" w14:textId="08D439BD" w:rsidR="00870E03" w:rsidRDefault="00414EB3" w:rsidP="00414EB3">
      <w:pPr>
        <w:pStyle w:val="ListParagraph"/>
        <w:numPr>
          <w:ilvl w:val="2"/>
          <w:numId w:val="9"/>
        </w:numPr>
      </w:pPr>
      <w:r>
        <w:t>The cost of making the exception remains reasonable (i.e. delivering the service and enabling the individual to retain or obtain an employment outcome will be cost effective in terms of projected public assistance needs.</w:t>
      </w:r>
      <w:r w:rsidR="00870E03">
        <w:t xml:space="preserve"> </w:t>
      </w:r>
    </w:p>
    <w:p w14:paraId="66E6194B" w14:textId="2DBFAC62" w:rsidR="00741DBA" w:rsidRDefault="00741DBA" w:rsidP="00741DBA"/>
    <w:p w14:paraId="2D44F02A" w14:textId="202CFD18" w:rsidR="00741DBA" w:rsidRDefault="00741DBA" w:rsidP="00741DBA"/>
    <w:p w14:paraId="78F639EA" w14:textId="77777777" w:rsidR="009C019D" w:rsidRDefault="009C019D" w:rsidP="00741DBA"/>
    <w:p w14:paraId="1EE8E14E" w14:textId="482426E4" w:rsidR="00AC6BED" w:rsidRDefault="00AC6BED" w:rsidP="00AC6BED"/>
    <w:p w14:paraId="2DF4C448" w14:textId="77777777" w:rsidR="00AC6BED" w:rsidRDefault="00AC6BED" w:rsidP="00AC6BED"/>
    <w:p w14:paraId="735EBF44" w14:textId="62F64ED2" w:rsidR="00AC6BED" w:rsidRDefault="00AC6BED" w:rsidP="00AC6BED"/>
    <w:p w14:paraId="1E3AAB34" w14:textId="77777777" w:rsidR="00AC6BED" w:rsidRPr="005848AE" w:rsidRDefault="00AC6BED" w:rsidP="00AC6BED"/>
    <w:p w14:paraId="14D81779" w14:textId="351E229B" w:rsidR="002E1C02" w:rsidRDefault="002E1C02">
      <w:pPr>
        <w:ind w:left="355" w:right="22"/>
      </w:pPr>
    </w:p>
    <w:sectPr w:rsidR="002E1C02">
      <w:headerReference w:type="even" r:id="rId13"/>
      <w:headerReference w:type="default" r:id="rId14"/>
      <w:footerReference w:type="even" r:id="rId15"/>
      <w:footerReference w:type="default" r:id="rId16"/>
      <w:headerReference w:type="first" r:id="rId17"/>
      <w:footerReference w:type="first" r:id="rId18"/>
      <w:pgSz w:w="12240" w:h="15840"/>
      <w:pgMar w:top="1467" w:right="1451" w:bottom="1921" w:left="1440" w:header="749"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F8A51" w14:textId="77777777" w:rsidR="006808B1" w:rsidRDefault="004D7607">
      <w:pPr>
        <w:spacing w:after="0" w:line="240" w:lineRule="auto"/>
      </w:pPr>
      <w:r>
        <w:separator/>
      </w:r>
    </w:p>
  </w:endnote>
  <w:endnote w:type="continuationSeparator" w:id="0">
    <w:p w14:paraId="2D33782F" w14:textId="77777777" w:rsidR="006808B1" w:rsidRDefault="004D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Franklin Gothic">
    <w:altName w:val="Cambria"/>
    <w:panose1 w:val="00000000000000000000"/>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9A024" w14:textId="77777777" w:rsidR="002E1C02" w:rsidRDefault="004D7607">
    <w:pPr>
      <w:tabs>
        <w:tab w:val="right" w:pos="9349"/>
      </w:tabs>
      <w:spacing w:after="0" w:line="259" w:lineRule="auto"/>
      <w:ind w:left="0" w:right="-11" w:firstLine="0"/>
    </w:pPr>
    <w:r>
      <w:rPr>
        <w:rFonts w:ascii="Franklin Gothic" w:eastAsia="Franklin Gothic" w:hAnsi="Franklin Gothic" w:cs="Franklin Gothic"/>
      </w:rPr>
      <w:t xml:space="preserve">Policy and Procedures Manual | Division of Vocational Rehabilitation | State of Vermont </w:t>
    </w:r>
    <w:r>
      <w:rPr>
        <w:rFonts w:ascii="Franklin Gothic" w:eastAsia="Franklin Gothic" w:hAnsi="Franklin Gothic" w:cs="Franklin Gothic"/>
      </w:rPr>
      <w:tab/>
      <w:t xml:space="preserve">page </w:t>
    </w:r>
    <w:r>
      <w:fldChar w:fldCharType="begin"/>
    </w:r>
    <w:r>
      <w:instrText xml:space="preserve"> PAGE   \* MERGEFORMAT </w:instrText>
    </w:r>
    <w:r>
      <w:fldChar w:fldCharType="separate"/>
    </w:r>
    <w:r>
      <w:rPr>
        <w:rFonts w:ascii="Franklin Gothic" w:eastAsia="Franklin Gothic" w:hAnsi="Franklin Gothic" w:cs="Franklin Gothic"/>
      </w:rPr>
      <w:t>1</w:t>
    </w:r>
    <w:r>
      <w:rPr>
        <w:rFonts w:ascii="Franklin Gothic" w:eastAsia="Franklin Gothic" w:hAnsi="Franklin Gothic" w:cs="Franklin Gothic"/>
      </w:rPr>
      <w:fldChar w:fldCharType="end"/>
    </w:r>
    <w:r>
      <w:rPr>
        <w:rFonts w:ascii="Franklin Gothic" w:eastAsia="Franklin Gothic" w:hAnsi="Franklin Gothic" w:cs="Franklin Gothic"/>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F715E" w14:textId="67031B7E" w:rsidR="002E1C02" w:rsidRPr="00375D92" w:rsidRDefault="004D7607">
    <w:pPr>
      <w:tabs>
        <w:tab w:val="right" w:pos="9349"/>
      </w:tabs>
      <w:spacing w:after="0" w:line="259" w:lineRule="auto"/>
      <w:ind w:left="0" w:right="-11" w:firstLine="0"/>
      <w:rPr>
        <w:rFonts w:ascii="Franklin Gothic Medium Cond" w:hAnsi="Franklin Gothic Medium Cond"/>
        <w:szCs w:val="24"/>
      </w:rPr>
    </w:pPr>
    <w:r w:rsidRPr="00375D92">
      <w:rPr>
        <w:rFonts w:ascii="Franklin Gothic Medium Cond" w:eastAsia="Franklin Gothic" w:hAnsi="Franklin Gothic Medium Cond" w:cs="Franklin Gothic"/>
        <w:szCs w:val="24"/>
      </w:rPr>
      <w:t>Policy and Procedures Manual |</w:t>
    </w:r>
    <w:r w:rsidR="006D7021" w:rsidRPr="00375D92">
      <w:rPr>
        <w:rFonts w:ascii="Franklin Gothic Medium Cond" w:eastAsia="Franklin Gothic" w:hAnsi="Franklin Gothic Medium Cond" w:cs="Franklin Gothic"/>
        <w:szCs w:val="24"/>
      </w:rPr>
      <w:t xml:space="preserve"> </w:t>
    </w:r>
    <w:r w:rsidRPr="00375D92">
      <w:rPr>
        <w:rFonts w:ascii="Franklin Gothic Medium Cond" w:eastAsia="Franklin Gothic" w:hAnsi="Franklin Gothic Medium Cond" w:cs="Franklin Gothic"/>
        <w:szCs w:val="24"/>
      </w:rPr>
      <w:t xml:space="preserve">Vermont </w:t>
    </w:r>
    <w:r w:rsidR="006D7021" w:rsidRPr="00375D92">
      <w:rPr>
        <w:rFonts w:ascii="Franklin Gothic Medium Cond" w:eastAsia="Franklin Gothic" w:hAnsi="Franklin Gothic Medium Cond" w:cs="Franklin Gothic"/>
        <w:szCs w:val="24"/>
      </w:rPr>
      <w:t>Division for the Blind and Visually Impaired</w:t>
    </w:r>
    <w:r w:rsidRPr="00375D92">
      <w:rPr>
        <w:rFonts w:ascii="Franklin Gothic Medium Cond" w:eastAsia="Franklin Gothic" w:hAnsi="Franklin Gothic Medium Cond" w:cs="Franklin Gothic"/>
        <w:szCs w:val="24"/>
      </w:rPr>
      <w:tab/>
      <w:t xml:space="preserve">page </w:t>
    </w:r>
    <w:r w:rsidRPr="00375D92">
      <w:rPr>
        <w:rFonts w:ascii="Franklin Gothic Medium Cond" w:hAnsi="Franklin Gothic Medium Cond"/>
        <w:szCs w:val="24"/>
      </w:rPr>
      <w:fldChar w:fldCharType="begin"/>
    </w:r>
    <w:r w:rsidRPr="00375D92">
      <w:rPr>
        <w:rFonts w:ascii="Franklin Gothic Medium Cond" w:hAnsi="Franklin Gothic Medium Cond"/>
        <w:szCs w:val="24"/>
      </w:rPr>
      <w:instrText xml:space="preserve"> PAGE   \* MERGEFORMAT </w:instrText>
    </w:r>
    <w:r w:rsidRPr="00375D92">
      <w:rPr>
        <w:rFonts w:ascii="Franklin Gothic Medium Cond" w:hAnsi="Franklin Gothic Medium Cond"/>
        <w:szCs w:val="24"/>
      </w:rPr>
      <w:fldChar w:fldCharType="separate"/>
    </w:r>
    <w:r w:rsidRPr="00375D92">
      <w:rPr>
        <w:rFonts w:ascii="Franklin Gothic Medium Cond" w:eastAsia="Franklin Gothic" w:hAnsi="Franklin Gothic Medium Cond" w:cs="Franklin Gothic"/>
        <w:szCs w:val="24"/>
      </w:rPr>
      <w:t>1</w:t>
    </w:r>
    <w:r w:rsidRPr="00375D92">
      <w:rPr>
        <w:rFonts w:ascii="Franklin Gothic Medium Cond" w:eastAsia="Franklin Gothic" w:hAnsi="Franklin Gothic Medium Cond" w:cs="Franklin Gothic"/>
        <w:szCs w:val="24"/>
      </w:rPr>
      <w:fldChar w:fldCharType="end"/>
    </w:r>
    <w:r w:rsidRPr="00375D92">
      <w:rPr>
        <w:rFonts w:ascii="Franklin Gothic Medium Cond" w:eastAsia="Franklin Gothic" w:hAnsi="Franklin Gothic Medium Cond" w:cs="Franklin Gothic"/>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473FD" w14:textId="77777777" w:rsidR="002E1C02" w:rsidRDefault="004D7607">
    <w:pPr>
      <w:tabs>
        <w:tab w:val="right" w:pos="9349"/>
      </w:tabs>
      <w:spacing w:after="0" w:line="259" w:lineRule="auto"/>
      <w:ind w:left="0" w:right="-11" w:firstLine="0"/>
    </w:pPr>
    <w:r>
      <w:rPr>
        <w:rFonts w:ascii="Franklin Gothic" w:eastAsia="Franklin Gothic" w:hAnsi="Franklin Gothic" w:cs="Franklin Gothic"/>
      </w:rPr>
      <w:t xml:space="preserve">Policy and Procedures Manual | Division of Vocational Rehabilitation | State of Vermont </w:t>
    </w:r>
    <w:r>
      <w:rPr>
        <w:rFonts w:ascii="Franklin Gothic" w:eastAsia="Franklin Gothic" w:hAnsi="Franklin Gothic" w:cs="Franklin Gothic"/>
      </w:rPr>
      <w:tab/>
      <w:t xml:space="preserve">page </w:t>
    </w:r>
    <w:r>
      <w:fldChar w:fldCharType="begin"/>
    </w:r>
    <w:r>
      <w:instrText xml:space="preserve"> PAGE   \* MERGEFORMAT </w:instrText>
    </w:r>
    <w:r>
      <w:fldChar w:fldCharType="separate"/>
    </w:r>
    <w:r>
      <w:rPr>
        <w:rFonts w:ascii="Franklin Gothic" w:eastAsia="Franklin Gothic" w:hAnsi="Franklin Gothic" w:cs="Franklin Gothic"/>
      </w:rPr>
      <w:t>1</w:t>
    </w:r>
    <w:r>
      <w:rPr>
        <w:rFonts w:ascii="Franklin Gothic" w:eastAsia="Franklin Gothic" w:hAnsi="Franklin Gothic" w:cs="Franklin Gothic"/>
      </w:rPr>
      <w:fldChar w:fldCharType="end"/>
    </w:r>
    <w:r>
      <w:rPr>
        <w:rFonts w:ascii="Franklin Gothic" w:eastAsia="Franklin Gothic" w:hAnsi="Franklin Gothic" w:cs="Franklin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EC340" w14:textId="77777777" w:rsidR="006808B1" w:rsidRDefault="004D7607">
      <w:pPr>
        <w:spacing w:after="0" w:line="240" w:lineRule="auto"/>
      </w:pPr>
      <w:r>
        <w:separator/>
      </w:r>
    </w:p>
  </w:footnote>
  <w:footnote w:type="continuationSeparator" w:id="0">
    <w:p w14:paraId="3C30FA1C" w14:textId="77777777" w:rsidR="006808B1" w:rsidRDefault="004D7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0EC9C" w14:textId="77777777" w:rsidR="002E1C02" w:rsidRDefault="004D7607">
    <w:pPr>
      <w:spacing w:after="0" w:line="250" w:lineRule="auto"/>
      <w:ind w:left="135" w:right="-11" w:firstLine="0"/>
      <w:jc w:val="right"/>
    </w:pPr>
    <w:r>
      <w:rPr>
        <w:rFonts w:ascii="Franklin Gothic" w:eastAsia="Franklin Gothic" w:hAnsi="Franklin Gothic" w:cs="Franklin Gothic"/>
      </w:rPr>
      <w:t xml:space="preserve">Chapter 301: Counseling and Guidance, Referral to Other Services, and Other Goods and Services </w:t>
    </w:r>
    <w:r>
      <w:rPr>
        <w:sz w:val="20"/>
      </w:rPr>
      <w:t xml:space="preserve">Revised: </w:t>
    </w:r>
    <w:r>
      <w:rPr>
        <w:rFonts w:ascii="Franklin Gothic" w:eastAsia="Franklin Gothic" w:hAnsi="Franklin Gothic" w:cs="Franklin Gothic"/>
      </w:rPr>
      <w:t>March 2015</w:t>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BE5BF" w14:textId="3639A856" w:rsidR="001D5FD6" w:rsidRPr="00F90BD7" w:rsidRDefault="004D7607">
    <w:pPr>
      <w:spacing w:after="0" w:line="250" w:lineRule="auto"/>
      <w:ind w:left="135" w:right="-11" w:firstLine="0"/>
      <w:jc w:val="right"/>
      <w:rPr>
        <w:rFonts w:ascii="Franklin Gothic Medium Cond" w:eastAsia="Franklin Gothic" w:hAnsi="Franklin Gothic Medium Cond" w:cs="Franklin Gothic"/>
        <w:szCs w:val="24"/>
      </w:rPr>
    </w:pPr>
    <w:r w:rsidRPr="00F90BD7">
      <w:rPr>
        <w:rFonts w:ascii="Franklin Gothic Medium Cond" w:eastAsia="Franklin Gothic" w:hAnsi="Franklin Gothic Medium Cond" w:cs="Franklin Gothic"/>
        <w:szCs w:val="24"/>
      </w:rPr>
      <w:t xml:space="preserve">Chapter </w:t>
    </w:r>
    <w:r w:rsidR="000D33A2" w:rsidRPr="00F90BD7">
      <w:rPr>
        <w:rFonts w:ascii="Franklin Gothic Medium Cond" w:eastAsia="Franklin Gothic" w:hAnsi="Franklin Gothic Medium Cond" w:cs="Franklin Gothic"/>
        <w:szCs w:val="24"/>
      </w:rPr>
      <w:t>6</w:t>
    </w:r>
    <w:r w:rsidR="006D7021" w:rsidRPr="00F90BD7">
      <w:rPr>
        <w:rFonts w:ascii="Franklin Gothic Medium Cond" w:eastAsia="Franklin Gothic" w:hAnsi="Franklin Gothic Medium Cond" w:cs="Franklin Gothic"/>
        <w:szCs w:val="24"/>
      </w:rPr>
      <w:t>:</w:t>
    </w:r>
    <w:r w:rsidRPr="00F90BD7">
      <w:rPr>
        <w:rFonts w:ascii="Franklin Gothic Medium Cond" w:eastAsia="Franklin Gothic" w:hAnsi="Franklin Gothic Medium Cond" w:cs="Franklin Gothic"/>
        <w:szCs w:val="24"/>
      </w:rPr>
      <w:t xml:space="preserve"> </w:t>
    </w:r>
    <w:r w:rsidR="000D33A2" w:rsidRPr="00F90BD7">
      <w:rPr>
        <w:rFonts w:ascii="Franklin Gothic Medium Cond" w:eastAsia="Franklin Gothic" w:hAnsi="Franklin Gothic Medium Cond" w:cs="Franklin Gothic"/>
        <w:szCs w:val="24"/>
      </w:rPr>
      <w:t>Health</w:t>
    </w:r>
    <w:r w:rsidRPr="00F90BD7">
      <w:rPr>
        <w:rFonts w:ascii="Franklin Gothic Medium Cond" w:eastAsia="Franklin Gothic" w:hAnsi="Franklin Gothic Medium Cond" w:cs="Franklin Gothic"/>
        <w:szCs w:val="24"/>
      </w:rPr>
      <w:t xml:space="preserve"> Services</w:t>
    </w:r>
  </w:p>
  <w:p w14:paraId="5E577F6A" w14:textId="0993BBAC" w:rsidR="002E1C02" w:rsidRDefault="004D7607">
    <w:pPr>
      <w:spacing w:after="0" w:line="250" w:lineRule="auto"/>
      <w:ind w:left="135" w:right="-11" w:firstLine="0"/>
      <w:jc w:val="right"/>
    </w:pPr>
    <w:r w:rsidRPr="001D5FD6">
      <w:rPr>
        <w:rFonts w:ascii="Franklin Gothic Medium Cond" w:eastAsia="Franklin Gothic" w:hAnsi="Franklin Gothic Medium Cond" w:cs="Franklin Gothic"/>
      </w:rPr>
      <w:t xml:space="preserve"> </w:t>
    </w:r>
    <w:r w:rsidRPr="00F90BD7">
      <w:rPr>
        <w:sz w:val="20"/>
        <w:szCs w:val="20"/>
      </w:rPr>
      <w:t>Revised:</w:t>
    </w:r>
    <w:r w:rsidR="001D5FD6">
      <w:rPr>
        <w:sz w:val="20"/>
      </w:rPr>
      <w:t xml:space="preserve">  </w:t>
    </w:r>
    <w:r w:rsidR="000D33A2" w:rsidRPr="00F90BD7">
      <w:rPr>
        <w:rFonts w:ascii="Franklin Gothic Medium" w:hAnsi="Franklin Gothic Medium"/>
        <w:sz w:val="20"/>
        <w:szCs w:val="20"/>
      </w:rPr>
      <w:t>June</w:t>
    </w:r>
    <w:r w:rsidR="006D7021" w:rsidRPr="00F90BD7">
      <w:rPr>
        <w:rFonts w:ascii="Franklin Gothic Medium" w:hAnsi="Franklin Gothic Medium"/>
        <w:sz w:val="20"/>
        <w:szCs w:val="20"/>
      </w:rPr>
      <w:t xml:space="preserve"> 2020</w:t>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F0A8A" w14:textId="77777777" w:rsidR="002E1C02" w:rsidRDefault="004D7607">
    <w:pPr>
      <w:spacing w:after="0" w:line="250" w:lineRule="auto"/>
      <w:ind w:left="135" w:right="-11" w:firstLine="0"/>
      <w:jc w:val="right"/>
    </w:pPr>
    <w:r>
      <w:rPr>
        <w:rFonts w:ascii="Franklin Gothic" w:eastAsia="Franklin Gothic" w:hAnsi="Franklin Gothic" w:cs="Franklin Gothic"/>
      </w:rPr>
      <w:t xml:space="preserve">Chapter 301: Counseling and Guidance, Referral to Other Services, and Other Goods and Services </w:t>
    </w:r>
    <w:r>
      <w:rPr>
        <w:sz w:val="20"/>
      </w:rPr>
      <w:t xml:space="preserve">Revised: </w:t>
    </w:r>
    <w:r>
      <w:rPr>
        <w:rFonts w:ascii="Franklin Gothic" w:eastAsia="Franklin Gothic" w:hAnsi="Franklin Gothic" w:cs="Franklin Gothic"/>
      </w:rPr>
      <w:t>March 2015</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51A71"/>
    <w:multiLevelType w:val="hybridMultilevel"/>
    <w:tmpl w:val="FD94AAFE"/>
    <w:lvl w:ilvl="0" w:tplc="7D98B72E">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 w15:restartNumberingAfterBreak="0">
    <w:nsid w:val="126C6E82"/>
    <w:multiLevelType w:val="hybridMultilevel"/>
    <w:tmpl w:val="84949740"/>
    <w:lvl w:ilvl="0" w:tplc="DFF2E582">
      <w:start w:val="1"/>
      <w:numFmt w:val="upperLetter"/>
      <w:lvlText w:val="%1."/>
      <w:lvlJc w:val="left"/>
      <w:pPr>
        <w:ind w:left="3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651691C8">
      <w:start w:val="1"/>
      <w:numFmt w:val="decimal"/>
      <w:lvlText w:val="%2."/>
      <w:lvlJc w:val="left"/>
      <w:pPr>
        <w:ind w:left="7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1540BB8A">
      <w:start w:val="1"/>
      <w:numFmt w:val="lowerRoman"/>
      <w:lvlText w:val="%3"/>
      <w:lvlJc w:val="left"/>
      <w:pPr>
        <w:ind w:left="14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51F6A152">
      <w:start w:val="1"/>
      <w:numFmt w:val="decimal"/>
      <w:lvlText w:val="%4"/>
      <w:lvlJc w:val="left"/>
      <w:pPr>
        <w:ind w:left="21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79D69C1A">
      <w:start w:val="1"/>
      <w:numFmt w:val="lowerLetter"/>
      <w:lvlText w:val="%5"/>
      <w:lvlJc w:val="left"/>
      <w:pPr>
        <w:ind w:left="28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3AC2A43C">
      <w:start w:val="1"/>
      <w:numFmt w:val="lowerRoman"/>
      <w:lvlText w:val="%6"/>
      <w:lvlJc w:val="left"/>
      <w:pPr>
        <w:ind w:left="360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2DC658BC">
      <w:start w:val="1"/>
      <w:numFmt w:val="decimal"/>
      <w:lvlText w:val="%7"/>
      <w:lvlJc w:val="left"/>
      <w:pPr>
        <w:ind w:left="43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C13E15B0">
      <w:start w:val="1"/>
      <w:numFmt w:val="lowerLetter"/>
      <w:lvlText w:val="%8"/>
      <w:lvlJc w:val="left"/>
      <w:pPr>
        <w:ind w:left="50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8668C52A">
      <w:start w:val="1"/>
      <w:numFmt w:val="lowerRoman"/>
      <w:lvlText w:val="%9"/>
      <w:lvlJc w:val="left"/>
      <w:pPr>
        <w:ind w:left="57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250904"/>
    <w:multiLevelType w:val="hybridMultilevel"/>
    <w:tmpl w:val="14182434"/>
    <w:lvl w:ilvl="0" w:tplc="3244DCBA">
      <w:start w:val="1"/>
      <w:numFmt w:val="upperLetter"/>
      <w:lvlText w:val="%1."/>
      <w:lvlJc w:val="left"/>
      <w:pPr>
        <w:ind w:left="3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56183C18">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D0141EE6">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D5E8DF08">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D27EECC4">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CE82EB2C">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9B9E7804">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CABC0F3A">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83E6AB86">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7B78E1"/>
    <w:multiLevelType w:val="hybridMultilevel"/>
    <w:tmpl w:val="94CE36EA"/>
    <w:lvl w:ilvl="0" w:tplc="F5FC8DC8">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4" w15:restartNumberingAfterBreak="0">
    <w:nsid w:val="2EA52ACE"/>
    <w:multiLevelType w:val="hybridMultilevel"/>
    <w:tmpl w:val="DFAEC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74D68"/>
    <w:multiLevelType w:val="hybridMultilevel"/>
    <w:tmpl w:val="D95E8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E4CD0"/>
    <w:multiLevelType w:val="hybridMultilevel"/>
    <w:tmpl w:val="F9003E14"/>
    <w:lvl w:ilvl="0" w:tplc="13482FE6">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7" w15:restartNumberingAfterBreak="0">
    <w:nsid w:val="738467F2"/>
    <w:multiLevelType w:val="hybridMultilevel"/>
    <w:tmpl w:val="F7340A68"/>
    <w:lvl w:ilvl="0" w:tplc="B11C0E4E">
      <w:start w:val="1"/>
      <w:numFmt w:val="decimal"/>
      <w:lvlText w:val="%1."/>
      <w:lvlJc w:val="left"/>
      <w:pPr>
        <w:ind w:left="7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1" w:tplc="1CAEC762">
      <w:start w:val="1"/>
      <w:numFmt w:val="lowerLetter"/>
      <w:lvlText w:val="%2"/>
      <w:lvlJc w:val="left"/>
      <w:pPr>
        <w:ind w:left="14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970898C8">
      <w:start w:val="1"/>
      <w:numFmt w:val="lowerRoman"/>
      <w:lvlText w:val="%3"/>
      <w:lvlJc w:val="left"/>
      <w:pPr>
        <w:ind w:left="21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BC9C31E4">
      <w:start w:val="1"/>
      <w:numFmt w:val="decimal"/>
      <w:lvlText w:val="%4"/>
      <w:lvlJc w:val="left"/>
      <w:pPr>
        <w:ind w:left="28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83E21694">
      <w:start w:val="1"/>
      <w:numFmt w:val="lowerLetter"/>
      <w:lvlText w:val="%5"/>
      <w:lvlJc w:val="left"/>
      <w:pPr>
        <w:ind w:left="360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9F00352A">
      <w:start w:val="1"/>
      <w:numFmt w:val="lowerRoman"/>
      <w:lvlText w:val="%6"/>
      <w:lvlJc w:val="left"/>
      <w:pPr>
        <w:ind w:left="43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169E12A2">
      <w:start w:val="1"/>
      <w:numFmt w:val="decimal"/>
      <w:lvlText w:val="%7"/>
      <w:lvlJc w:val="left"/>
      <w:pPr>
        <w:ind w:left="50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1250F2B0">
      <w:start w:val="1"/>
      <w:numFmt w:val="lowerLetter"/>
      <w:lvlText w:val="%8"/>
      <w:lvlJc w:val="left"/>
      <w:pPr>
        <w:ind w:left="57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D17AAD8A">
      <w:start w:val="1"/>
      <w:numFmt w:val="lowerRoman"/>
      <w:lvlText w:val="%9"/>
      <w:lvlJc w:val="left"/>
      <w:pPr>
        <w:ind w:left="64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F7178FA"/>
    <w:multiLevelType w:val="hybridMultilevel"/>
    <w:tmpl w:val="67188EC0"/>
    <w:lvl w:ilvl="0" w:tplc="B5EA82AC">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num w:numId="1">
    <w:abstractNumId w:val="2"/>
  </w:num>
  <w:num w:numId="2">
    <w:abstractNumId w:val="7"/>
  </w:num>
  <w:num w:numId="3">
    <w:abstractNumId w:val="1"/>
  </w:num>
  <w:num w:numId="4">
    <w:abstractNumId w:val="0"/>
  </w:num>
  <w:num w:numId="5">
    <w:abstractNumId w:val="8"/>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02"/>
    <w:rsid w:val="00000C0E"/>
    <w:rsid w:val="000D33A2"/>
    <w:rsid w:val="00102C98"/>
    <w:rsid w:val="00144998"/>
    <w:rsid w:val="001465E2"/>
    <w:rsid w:val="001D5FD6"/>
    <w:rsid w:val="002262B4"/>
    <w:rsid w:val="002A47E6"/>
    <w:rsid w:val="002E1C02"/>
    <w:rsid w:val="002F1CD9"/>
    <w:rsid w:val="00357A54"/>
    <w:rsid w:val="00360311"/>
    <w:rsid w:val="00375D92"/>
    <w:rsid w:val="003D13EF"/>
    <w:rsid w:val="003E0FF6"/>
    <w:rsid w:val="00414EB3"/>
    <w:rsid w:val="00464443"/>
    <w:rsid w:val="0047552B"/>
    <w:rsid w:val="004A1DFF"/>
    <w:rsid w:val="004D7607"/>
    <w:rsid w:val="00582584"/>
    <w:rsid w:val="005848AE"/>
    <w:rsid w:val="00635233"/>
    <w:rsid w:val="006808B1"/>
    <w:rsid w:val="0069371E"/>
    <w:rsid w:val="006D7021"/>
    <w:rsid w:val="00741DBA"/>
    <w:rsid w:val="007D7FF3"/>
    <w:rsid w:val="007E13F1"/>
    <w:rsid w:val="007F1D7E"/>
    <w:rsid w:val="008017F2"/>
    <w:rsid w:val="00870E03"/>
    <w:rsid w:val="008C69E1"/>
    <w:rsid w:val="008D70C7"/>
    <w:rsid w:val="008F67B5"/>
    <w:rsid w:val="00932DF8"/>
    <w:rsid w:val="00945AAF"/>
    <w:rsid w:val="009B182F"/>
    <w:rsid w:val="009C019D"/>
    <w:rsid w:val="009C38B2"/>
    <w:rsid w:val="009D0343"/>
    <w:rsid w:val="00A14FCD"/>
    <w:rsid w:val="00A277BE"/>
    <w:rsid w:val="00A74C10"/>
    <w:rsid w:val="00AC6BED"/>
    <w:rsid w:val="00B35D8E"/>
    <w:rsid w:val="00C07690"/>
    <w:rsid w:val="00C55F60"/>
    <w:rsid w:val="00CA0371"/>
    <w:rsid w:val="00DC70CC"/>
    <w:rsid w:val="00E342C5"/>
    <w:rsid w:val="00E552D9"/>
    <w:rsid w:val="00F3397A"/>
    <w:rsid w:val="00F90BD7"/>
    <w:rsid w:val="00FF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5AAE"/>
  <w15:docId w15:val="{257B92FD-E876-4B37-ADBC-66107772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9" w:line="252" w:lineRule="auto"/>
      <w:ind w:left="370" w:hanging="370"/>
    </w:pPr>
    <w:rPr>
      <w:rFonts w:ascii="Franklin Gothic Book" w:eastAsia="Franklin Gothic Book" w:hAnsi="Franklin Gothic Book" w:cs="Franklin Gothic Book"/>
      <w:color w:val="000000"/>
      <w:sz w:val="24"/>
    </w:rPr>
  </w:style>
  <w:style w:type="paragraph" w:styleId="Heading1">
    <w:name w:val="heading 1"/>
    <w:next w:val="Normal"/>
    <w:link w:val="Heading1Char"/>
    <w:uiPriority w:val="9"/>
    <w:qFormat/>
    <w:pPr>
      <w:keepNext/>
      <w:keepLines/>
      <w:spacing w:after="278"/>
      <w:ind w:left="5" w:hanging="10"/>
      <w:outlineLvl w:val="0"/>
    </w:pPr>
    <w:rPr>
      <w:rFonts w:ascii="Franklin Gothic" w:eastAsia="Franklin Gothic" w:hAnsi="Franklin Gothic" w:cs="Franklin Gothic"/>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w:eastAsia="Franklin Gothic" w:hAnsi="Franklin Gothic" w:cs="Franklin Gothic"/>
      <w:color w:val="000000"/>
      <w:sz w:val="28"/>
    </w:rPr>
  </w:style>
  <w:style w:type="paragraph" w:styleId="ListParagraph">
    <w:name w:val="List Paragraph"/>
    <w:basedOn w:val="Normal"/>
    <w:uiPriority w:val="34"/>
    <w:qFormat/>
    <w:rsid w:val="00C5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F8A70-D06A-4E57-AB76-C3C0F1C6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Chapter 203:  INDIVIDUALIZED PLAN FOR EMPLOYMENT</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203:  INDIVIDUALIZED PLAN FOR EMPLOYMENT</dc:title>
  <dc:subject/>
  <dc:creator>Vermont Division of Vocational Rehabilitation</dc:creator>
  <cp:keywords/>
  <cp:lastModifiedBy>Hoellerich, Melissa</cp:lastModifiedBy>
  <cp:revision>32</cp:revision>
  <dcterms:created xsi:type="dcterms:W3CDTF">2020-06-15T16:33:00Z</dcterms:created>
  <dcterms:modified xsi:type="dcterms:W3CDTF">2020-06-23T18:35:00Z</dcterms:modified>
</cp:coreProperties>
</file>