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C064C" w14:textId="5403D27D" w:rsidR="00E66FFC" w:rsidRDefault="00CB58A9" w:rsidP="001D06B2">
      <w:pPr>
        <w:pStyle w:val="Title"/>
      </w:pPr>
      <w:bookmarkStart w:id="0" w:name="ChapterNumber"/>
      <w:r w:rsidRPr="00217CE9">
        <w:t>Chapter</w:t>
      </w:r>
      <w:r>
        <w:t xml:space="preserve"> </w:t>
      </w:r>
      <w:r w:rsidR="00921004">
        <w:t>1</w:t>
      </w:r>
      <w:r w:rsidR="00F24F2D">
        <w:t>:</w:t>
      </w:r>
      <w:bookmarkEnd w:id="0"/>
    </w:p>
    <w:p w14:paraId="5BAA7D94" w14:textId="77777777" w:rsidR="00CB58A9" w:rsidRDefault="00C1032E" w:rsidP="00217CE9">
      <w:pPr>
        <w:pStyle w:val="Title"/>
      </w:pPr>
      <w:bookmarkStart w:id="1" w:name="ChapterTitle"/>
      <w:r>
        <w:t>Eligibility</w:t>
      </w:r>
      <w:bookmarkEnd w:id="1"/>
    </w:p>
    <w:p w14:paraId="36A08D3A" w14:textId="2AD7276D" w:rsidR="00217CE9" w:rsidRDefault="00217CE9" w:rsidP="00217CE9">
      <w:r w:rsidRPr="00217CE9">
        <w:t xml:space="preserve">Vermont </w:t>
      </w:r>
      <w:r w:rsidR="004B39E3">
        <w:t>Division for the Blind and Visually Impaired</w:t>
      </w:r>
      <w:r>
        <w:br/>
      </w:r>
      <w:r w:rsidR="00A36337">
        <w:t>Policy and</w:t>
      </w:r>
      <w:r w:rsidRPr="00217CE9">
        <w:t xml:space="preserve"> Procedures Manual</w:t>
      </w:r>
    </w:p>
    <w:p w14:paraId="44A667CE" w14:textId="2233597B" w:rsidR="00CC6127" w:rsidRDefault="00EE6E8A"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r w:rsidRPr="00CB1695">
        <w:t>Revision</w:t>
      </w:r>
      <w:r w:rsidRPr="00EE6E8A">
        <w:t xml:space="preserve"> Date</w:t>
      </w:r>
      <w:r>
        <w:t xml:space="preserve">: </w:t>
      </w:r>
      <w:r w:rsidR="001C05EC">
        <w:t xml:space="preserve">February </w:t>
      </w:r>
      <w:r w:rsidR="009854BA">
        <w:t>20</w:t>
      </w:r>
      <w:r w:rsidR="00EE2D8C">
        <w:t>20</w:t>
      </w:r>
    </w:p>
    <w:sdt>
      <w:sdtPr>
        <w:rPr>
          <w:rFonts w:ascii="Franklin Gothic Book" w:hAnsi="Franklin Gothic Book"/>
          <w:lang w:eastAsia="en-US"/>
        </w:rPr>
        <w:id w:val="1026837625"/>
        <w:docPartObj>
          <w:docPartGallery w:val="Table of Contents"/>
          <w:docPartUnique/>
        </w:docPartObj>
      </w:sdtPr>
      <w:sdtEndPr>
        <w:rPr>
          <w:b/>
          <w:bCs/>
          <w:noProof/>
        </w:rPr>
      </w:sdtEndPr>
      <w:sdtContent>
        <w:p w14:paraId="5BB4A912" w14:textId="69FCB436" w:rsidR="00FF78DF" w:rsidRDefault="00FF78DF" w:rsidP="009E5CF4">
          <w:pPr>
            <w:pStyle w:val="TOCHeading"/>
            <w:ind w:right="-1350"/>
          </w:pPr>
          <w:r>
            <w:t>Table of Contents</w:t>
          </w:r>
        </w:p>
        <w:p w14:paraId="6D9CFD80" w14:textId="372F58BC" w:rsidR="00702A3B" w:rsidRPr="005F4570" w:rsidRDefault="00FF78DF">
          <w:pPr>
            <w:pStyle w:val="TOC1"/>
            <w:rPr>
              <w:szCs w:val="22"/>
              <w:lang w:eastAsia="en-US"/>
            </w:rPr>
          </w:pPr>
          <w:r>
            <w:rPr>
              <w:noProof w:val="0"/>
            </w:rPr>
            <w:fldChar w:fldCharType="begin"/>
          </w:r>
          <w:r>
            <w:instrText xml:space="preserve"> TOC \o "1-3" \h \z \u </w:instrText>
          </w:r>
          <w:r>
            <w:rPr>
              <w:noProof w:val="0"/>
            </w:rPr>
            <w:fldChar w:fldCharType="separate"/>
          </w:r>
          <w:hyperlink w:anchor="_Toc31893976" w:history="1">
            <w:r w:rsidR="00702A3B" w:rsidRPr="005F4570">
              <w:rPr>
                <w:rStyle w:val="Hyperlink"/>
              </w:rPr>
              <w:t>Section I.</w:t>
            </w:r>
            <w:r w:rsidR="00702A3B" w:rsidRPr="005F4570">
              <w:rPr>
                <w:szCs w:val="22"/>
                <w:lang w:eastAsia="en-US"/>
              </w:rPr>
              <w:tab/>
            </w:r>
            <w:r w:rsidR="00702A3B" w:rsidRPr="005F4570">
              <w:rPr>
                <w:rStyle w:val="Hyperlink"/>
              </w:rPr>
              <w:t>Definitions</w:t>
            </w:r>
            <w:r w:rsidR="00702A3B" w:rsidRPr="005F4570">
              <w:rPr>
                <w:webHidden/>
              </w:rPr>
              <w:tab/>
            </w:r>
            <w:r w:rsidR="00702A3B" w:rsidRPr="005F4570">
              <w:rPr>
                <w:webHidden/>
              </w:rPr>
              <w:fldChar w:fldCharType="begin"/>
            </w:r>
            <w:r w:rsidR="00702A3B" w:rsidRPr="005F4570">
              <w:rPr>
                <w:webHidden/>
              </w:rPr>
              <w:instrText xml:space="preserve"> PAGEREF _Toc31893976 \h </w:instrText>
            </w:r>
            <w:r w:rsidR="00702A3B" w:rsidRPr="005F4570">
              <w:rPr>
                <w:webHidden/>
              </w:rPr>
            </w:r>
            <w:r w:rsidR="00702A3B" w:rsidRPr="005F4570">
              <w:rPr>
                <w:webHidden/>
              </w:rPr>
              <w:fldChar w:fldCharType="separate"/>
            </w:r>
            <w:r w:rsidR="00F328A1">
              <w:rPr>
                <w:webHidden/>
              </w:rPr>
              <w:t>2</w:t>
            </w:r>
            <w:r w:rsidR="00702A3B" w:rsidRPr="005F4570">
              <w:rPr>
                <w:webHidden/>
              </w:rPr>
              <w:fldChar w:fldCharType="end"/>
            </w:r>
          </w:hyperlink>
        </w:p>
        <w:p w14:paraId="3AB6159B" w14:textId="1BF7E3CF" w:rsidR="00702A3B" w:rsidRPr="005F4570" w:rsidRDefault="006A3963">
          <w:pPr>
            <w:pStyle w:val="TOC1"/>
            <w:rPr>
              <w:szCs w:val="22"/>
              <w:lang w:eastAsia="en-US"/>
            </w:rPr>
          </w:pPr>
          <w:hyperlink w:anchor="_Toc31893977" w:history="1">
            <w:r w:rsidR="00702A3B" w:rsidRPr="005F4570">
              <w:rPr>
                <w:rStyle w:val="Hyperlink"/>
              </w:rPr>
              <w:t>Section II.</w:t>
            </w:r>
            <w:r w:rsidR="00702A3B" w:rsidRPr="005F4570">
              <w:rPr>
                <w:szCs w:val="22"/>
                <w:lang w:eastAsia="en-US"/>
              </w:rPr>
              <w:tab/>
            </w:r>
            <w:r w:rsidR="00702A3B" w:rsidRPr="005F4570">
              <w:rPr>
                <w:rStyle w:val="Hyperlink"/>
              </w:rPr>
              <w:t>Prohibited Factors</w:t>
            </w:r>
            <w:r w:rsidR="00702A3B" w:rsidRPr="005F4570">
              <w:rPr>
                <w:webHidden/>
              </w:rPr>
              <w:tab/>
            </w:r>
            <w:r w:rsidR="00702A3B" w:rsidRPr="005F4570">
              <w:rPr>
                <w:webHidden/>
              </w:rPr>
              <w:fldChar w:fldCharType="begin"/>
            </w:r>
            <w:r w:rsidR="00702A3B" w:rsidRPr="005F4570">
              <w:rPr>
                <w:webHidden/>
              </w:rPr>
              <w:instrText xml:space="preserve"> PAGEREF _Toc31893977 \h </w:instrText>
            </w:r>
            <w:r w:rsidR="00702A3B" w:rsidRPr="005F4570">
              <w:rPr>
                <w:webHidden/>
              </w:rPr>
            </w:r>
            <w:r w:rsidR="00702A3B" w:rsidRPr="005F4570">
              <w:rPr>
                <w:webHidden/>
              </w:rPr>
              <w:fldChar w:fldCharType="separate"/>
            </w:r>
            <w:r w:rsidR="00F328A1">
              <w:rPr>
                <w:webHidden/>
              </w:rPr>
              <w:t>3</w:t>
            </w:r>
            <w:r w:rsidR="00702A3B" w:rsidRPr="005F4570">
              <w:rPr>
                <w:webHidden/>
              </w:rPr>
              <w:fldChar w:fldCharType="end"/>
            </w:r>
          </w:hyperlink>
        </w:p>
        <w:p w14:paraId="7667A9C1" w14:textId="4EF2361A" w:rsidR="00702A3B" w:rsidRPr="005F4570" w:rsidRDefault="006A3963">
          <w:pPr>
            <w:pStyle w:val="TOC3"/>
            <w:rPr>
              <w:rFonts w:ascii="Franklin Gothic Medium" w:hAnsi="Franklin Gothic Medium"/>
              <w:sz w:val="24"/>
              <w:szCs w:val="22"/>
              <w:lang w:eastAsia="en-US"/>
            </w:rPr>
          </w:pPr>
          <w:hyperlink w:anchor="_Toc31893978" w:history="1">
            <w:r w:rsidR="00702A3B" w:rsidRPr="005F4570">
              <w:rPr>
                <w:rStyle w:val="Hyperlink"/>
                <w:rFonts w:ascii="Franklin Gothic Medium" w:hAnsi="Franklin Gothic Medium"/>
                <w:sz w:val="24"/>
              </w:rPr>
              <w:t>Guidance — Residency requirements.</w:t>
            </w:r>
            <w:r w:rsidR="00702A3B" w:rsidRPr="005F4570">
              <w:rPr>
                <w:rFonts w:ascii="Franklin Gothic Medium" w:hAnsi="Franklin Gothic Medium"/>
                <w:webHidden/>
                <w:sz w:val="24"/>
              </w:rPr>
              <w:tab/>
            </w:r>
            <w:r w:rsidR="00702A3B" w:rsidRPr="005F4570">
              <w:rPr>
                <w:rFonts w:ascii="Franklin Gothic Medium" w:hAnsi="Franklin Gothic Medium"/>
                <w:webHidden/>
                <w:sz w:val="24"/>
              </w:rPr>
              <w:fldChar w:fldCharType="begin"/>
            </w:r>
            <w:r w:rsidR="00702A3B" w:rsidRPr="005F4570">
              <w:rPr>
                <w:rFonts w:ascii="Franklin Gothic Medium" w:hAnsi="Franklin Gothic Medium"/>
                <w:webHidden/>
                <w:sz w:val="24"/>
              </w:rPr>
              <w:instrText xml:space="preserve"> PAGEREF _Toc31893978 \h </w:instrText>
            </w:r>
            <w:r w:rsidR="00702A3B" w:rsidRPr="005F4570">
              <w:rPr>
                <w:rFonts w:ascii="Franklin Gothic Medium" w:hAnsi="Franklin Gothic Medium"/>
                <w:webHidden/>
                <w:sz w:val="24"/>
              </w:rPr>
            </w:r>
            <w:r w:rsidR="00702A3B" w:rsidRPr="005F4570">
              <w:rPr>
                <w:rFonts w:ascii="Franklin Gothic Medium" w:hAnsi="Franklin Gothic Medium"/>
                <w:webHidden/>
                <w:sz w:val="24"/>
              </w:rPr>
              <w:fldChar w:fldCharType="separate"/>
            </w:r>
            <w:r w:rsidR="00F328A1">
              <w:rPr>
                <w:rFonts w:ascii="Franklin Gothic Medium" w:hAnsi="Franklin Gothic Medium"/>
                <w:webHidden/>
                <w:sz w:val="24"/>
              </w:rPr>
              <w:t>3</w:t>
            </w:r>
            <w:r w:rsidR="00702A3B" w:rsidRPr="005F4570">
              <w:rPr>
                <w:rFonts w:ascii="Franklin Gothic Medium" w:hAnsi="Franklin Gothic Medium"/>
                <w:webHidden/>
                <w:sz w:val="24"/>
              </w:rPr>
              <w:fldChar w:fldCharType="end"/>
            </w:r>
          </w:hyperlink>
        </w:p>
        <w:p w14:paraId="01E85823" w14:textId="05CDBCF8" w:rsidR="00702A3B" w:rsidRPr="005F4570" w:rsidRDefault="006A3963">
          <w:pPr>
            <w:pStyle w:val="TOC3"/>
            <w:rPr>
              <w:rFonts w:ascii="Franklin Gothic Medium" w:hAnsi="Franklin Gothic Medium"/>
              <w:sz w:val="24"/>
              <w:szCs w:val="22"/>
              <w:lang w:eastAsia="en-US"/>
            </w:rPr>
          </w:pPr>
          <w:hyperlink w:anchor="_Toc31893979" w:history="1">
            <w:r w:rsidR="00702A3B" w:rsidRPr="005F4570">
              <w:rPr>
                <w:rStyle w:val="Hyperlink"/>
                <w:rFonts w:ascii="Franklin Gothic Medium" w:hAnsi="Franklin Gothic Medium"/>
                <w:sz w:val="24"/>
              </w:rPr>
              <w:t>Guidance — Age exception.</w:t>
            </w:r>
            <w:r w:rsidR="00702A3B" w:rsidRPr="005F4570">
              <w:rPr>
                <w:rFonts w:ascii="Franklin Gothic Medium" w:hAnsi="Franklin Gothic Medium"/>
                <w:webHidden/>
                <w:sz w:val="24"/>
              </w:rPr>
              <w:tab/>
            </w:r>
            <w:r w:rsidR="00702A3B" w:rsidRPr="005F4570">
              <w:rPr>
                <w:rFonts w:ascii="Franklin Gothic Medium" w:hAnsi="Franklin Gothic Medium"/>
                <w:webHidden/>
                <w:sz w:val="24"/>
              </w:rPr>
              <w:fldChar w:fldCharType="begin"/>
            </w:r>
            <w:r w:rsidR="00702A3B" w:rsidRPr="005F4570">
              <w:rPr>
                <w:rFonts w:ascii="Franklin Gothic Medium" w:hAnsi="Franklin Gothic Medium"/>
                <w:webHidden/>
                <w:sz w:val="24"/>
              </w:rPr>
              <w:instrText xml:space="preserve"> PAGEREF _Toc31893979 \h </w:instrText>
            </w:r>
            <w:r w:rsidR="00702A3B" w:rsidRPr="005F4570">
              <w:rPr>
                <w:rFonts w:ascii="Franklin Gothic Medium" w:hAnsi="Franklin Gothic Medium"/>
                <w:webHidden/>
                <w:sz w:val="24"/>
              </w:rPr>
            </w:r>
            <w:r w:rsidR="00702A3B" w:rsidRPr="005F4570">
              <w:rPr>
                <w:rFonts w:ascii="Franklin Gothic Medium" w:hAnsi="Franklin Gothic Medium"/>
                <w:webHidden/>
                <w:sz w:val="24"/>
              </w:rPr>
              <w:fldChar w:fldCharType="separate"/>
            </w:r>
            <w:r w:rsidR="00F328A1">
              <w:rPr>
                <w:rFonts w:ascii="Franklin Gothic Medium" w:hAnsi="Franklin Gothic Medium"/>
                <w:webHidden/>
                <w:sz w:val="24"/>
              </w:rPr>
              <w:t>4</w:t>
            </w:r>
            <w:r w:rsidR="00702A3B" w:rsidRPr="005F4570">
              <w:rPr>
                <w:rFonts w:ascii="Franklin Gothic Medium" w:hAnsi="Franklin Gothic Medium"/>
                <w:webHidden/>
                <w:sz w:val="24"/>
              </w:rPr>
              <w:fldChar w:fldCharType="end"/>
            </w:r>
          </w:hyperlink>
        </w:p>
        <w:p w14:paraId="4989F67B" w14:textId="1A5F8C55" w:rsidR="00702A3B" w:rsidRPr="005F4570" w:rsidRDefault="006A3963">
          <w:pPr>
            <w:pStyle w:val="TOC1"/>
            <w:rPr>
              <w:szCs w:val="22"/>
              <w:lang w:eastAsia="en-US"/>
            </w:rPr>
          </w:pPr>
          <w:hyperlink w:anchor="_Toc31893980" w:history="1">
            <w:r w:rsidR="00702A3B" w:rsidRPr="005F4570">
              <w:rPr>
                <w:rStyle w:val="Hyperlink"/>
              </w:rPr>
              <w:t>Section III.</w:t>
            </w:r>
            <w:r w:rsidR="00702A3B" w:rsidRPr="005F4570">
              <w:rPr>
                <w:szCs w:val="22"/>
                <w:lang w:eastAsia="en-US"/>
              </w:rPr>
              <w:tab/>
            </w:r>
            <w:r w:rsidR="00702A3B" w:rsidRPr="005F4570">
              <w:rPr>
                <w:rStyle w:val="Hyperlink"/>
              </w:rPr>
              <w:t>Basic Conditions of Eligibility</w:t>
            </w:r>
            <w:r w:rsidR="00702A3B" w:rsidRPr="005F4570">
              <w:rPr>
                <w:webHidden/>
              </w:rPr>
              <w:tab/>
            </w:r>
            <w:r w:rsidR="00702A3B" w:rsidRPr="005F4570">
              <w:rPr>
                <w:webHidden/>
              </w:rPr>
              <w:fldChar w:fldCharType="begin"/>
            </w:r>
            <w:r w:rsidR="00702A3B" w:rsidRPr="005F4570">
              <w:rPr>
                <w:webHidden/>
              </w:rPr>
              <w:instrText xml:space="preserve"> PAGEREF _Toc31893980 \h </w:instrText>
            </w:r>
            <w:r w:rsidR="00702A3B" w:rsidRPr="005F4570">
              <w:rPr>
                <w:webHidden/>
              </w:rPr>
            </w:r>
            <w:r w:rsidR="00702A3B" w:rsidRPr="005F4570">
              <w:rPr>
                <w:webHidden/>
              </w:rPr>
              <w:fldChar w:fldCharType="separate"/>
            </w:r>
            <w:r w:rsidR="00F328A1">
              <w:rPr>
                <w:webHidden/>
              </w:rPr>
              <w:t>4</w:t>
            </w:r>
            <w:r w:rsidR="00702A3B" w:rsidRPr="005F4570">
              <w:rPr>
                <w:webHidden/>
              </w:rPr>
              <w:fldChar w:fldCharType="end"/>
            </w:r>
          </w:hyperlink>
        </w:p>
        <w:p w14:paraId="4CC19644" w14:textId="706CAD4B" w:rsidR="00702A3B" w:rsidRPr="005F4570" w:rsidRDefault="006A3963">
          <w:pPr>
            <w:pStyle w:val="TOC2"/>
            <w:rPr>
              <w:color w:val="auto"/>
              <w:sz w:val="24"/>
              <w:szCs w:val="22"/>
              <w:lang w:eastAsia="en-US"/>
            </w:rPr>
          </w:pPr>
          <w:hyperlink w:anchor="_Toc31893981" w:history="1">
            <w:r w:rsidR="00702A3B" w:rsidRPr="005F4570">
              <w:rPr>
                <w:rStyle w:val="Hyperlink"/>
                <w:sz w:val="24"/>
              </w:rPr>
              <w:t>Requirements for Eligibility</w:t>
            </w:r>
            <w:r w:rsidR="00702A3B" w:rsidRPr="005F4570">
              <w:rPr>
                <w:webHidden/>
                <w:sz w:val="24"/>
              </w:rPr>
              <w:tab/>
            </w:r>
            <w:r w:rsidR="00702A3B" w:rsidRPr="005F4570">
              <w:rPr>
                <w:webHidden/>
                <w:sz w:val="24"/>
              </w:rPr>
              <w:fldChar w:fldCharType="begin"/>
            </w:r>
            <w:r w:rsidR="00702A3B" w:rsidRPr="005F4570">
              <w:rPr>
                <w:webHidden/>
                <w:sz w:val="24"/>
              </w:rPr>
              <w:instrText xml:space="preserve"> PAGEREF _Toc31893981 \h </w:instrText>
            </w:r>
            <w:r w:rsidR="00702A3B" w:rsidRPr="005F4570">
              <w:rPr>
                <w:webHidden/>
                <w:sz w:val="24"/>
              </w:rPr>
            </w:r>
            <w:r w:rsidR="00702A3B" w:rsidRPr="005F4570">
              <w:rPr>
                <w:webHidden/>
                <w:sz w:val="24"/>
              </w:rPr>
              <w:fldChar w:fldCharType="separate"/>
            </w:r>
            <w:r w:rsidR="00F328A1">
              <w:rPr>
                <w:webHidden/>
                <w:sz w:val="24"/>
              </w:rPr>
              <w:t>4</w:t>
            </w:r>
            <w:r w:rsidR="00702A3B" w:rsidRPr="005F4570">
              <w:rPr>
                <w:webHidden/>
                <w:sz w:val="24"/>
              </w:rPr>
              <w:fldChar w:fldCharType="end"/>
            </w:r>
          </w:hyperlink>
        </w:p>
        <w:p w14:paraId="39AE876B" w14:textId="1D77A903" w:rsidR="00702A3B" w:rsidRPr="005F4570" w:rsidRDefault="006A3963">
          <w:pPr>
            <w:pStyle w:val="TOC3"/>
            <w:rPr>
              <w:rFonts w:ascii="Franklin Gothic Medium" w:hAnsi="Franklin Gothic Medium"/>
              <w:sz w:val="24"/>
              <w:szCs w:val="22"/>
              <w:lang w:eastAsia="en-US"/>
            </w:rPr>
          </w:pPr>
          <w:hyperlink w:anchor="_Toc31893982" w:history="1">
            <w:r w:rsidR="00702A3B" w:rsidRPr="005F4570">
              <w:rPr>
                <w:rStyle w:val="Hyperlink"/>
                <w:rFonts w:ascii="Franklin Gothic Medium" w:hAnsi="Franklin Gothic Medium"/>
                <w:sz w:val="24"/>
              </w:rPr>
              <w:t>Guidance — Requirements for service.</w:t>
            </w:r>
            <w:r w:rsidR="00702A3B" w:rsidRPr="005F4570">
              <w:rPr>
                <w:rFonts w:ascii="Franklin Gothic Medium" w:hAnsi="Franklin Gothic Medium"/>
                <w:webHidden/>
                <w:sz w:val="24"/>
              </w:rPr>
              <w:tab/>
            </w:r>
            <w:r w:rsidR="00702A3B" w:rsidRPr="005F4570">
              <w:rPr>
                <w:rFonts w:ascii="Franklin Gothic Medium" w:hAnsi="Franklin Gothic Medium"/>
                <w:webHidden/>
                <w:sz w:val="24"/>
              </w:rPr>
              <w:fldChar w:fldCharType="begin"/>
            </w:r>
            <w:r w:rsidR="00702A3B" w:rsidRPr="005F4570">
              <w:rPr>
                <w:rFonts w:ascii="Franklin Gothic Medium" w:hAnsi="Franklin Gothic Medium"/>
                <w:webHidden/>
                <w:sz w:val="24"/>
              </w:rPr>
              <w:instrText xml:space="preserve"> PAGEREF _Toc31893982 \h </w:instrText>
            </w:r>
            <w:r w:rsidR="00702A3B" w:rsidRPr="005F4570">
              <w:rPr>
                <w:rFonts w:ascii="Franklin Gothic Medium" w:hAnsi="Franklin Gothic Medium"/>
                <w:webHidden/>
                <w:sz w:val="24"/>
              </w:rPr>
            </w:r>
            <w:r w:rsidR="00702A3B" w:rsidRPr="005F4570">
              <w:rPr>
                <w:rFonts w:ascii="Franklin Gothic Medium" w:hAnsi="Franklin Gothic Medium"/>
                <w:webHidden/>
                <w:sz w:val="24"/>
              </w:rPr>
              <w:fldChar w:fldCharType="separate"/>
            </w:r>
            <w:r w:rsidR="00F328A1">
              <w:rPr>
                <w:rFonts w:ascii="Franklin Gothic Medium" w:hAnsi="Franklin Gothic Medium"/>
                <w:webHidden/>
                <w:sz w:val="24"/>
              </w:rPr>
              <w:t>4</w:t>
            </w:r>
            <w:r w:rsidR="00702A3B" w:rsidRPr="005F4570">
              <w:rPr>
                <w:rFonts w:ascii="Franklin Gothic Medium" w:hAnsi="Franklin Gothic Medium"/>
                <w:webHidden/>
                <w:sz w:val="24"/>
              </w:rPr>
              <w:fldChar w:fldCharType="end"/>
            </w:r>
          </w:hyperlink>
        </w:p>
        <w:p w14:paraId="778DF01B" w14:textId="78147F81" w:rsidR="00702A3B" w:rsidRPr="005F4570" w:rsidRDefault="006A3963">
          <w:pPr>
            <w:pStyle w:val="TOC2"/>
            <w:rPr>
              <w:color w:val="auto"/>
              <w:sz w:val="24"/>
              <w:szCs w:val="22"/>
              <w:lang w:eastAsia="en-US"/>
            </w:rPr>
          </w:pPr>
          <w:hyperlink w:anchor="_Toc31893983" w:history="1">
            <w:r w:rsidR="00702A3B" w:rsidRPr="005F4570">
              <w:rPr>
                <w:rStyle w:val="Hyperlink"/>
                <w:sz w:val="24"/>
              </w:rPr>
              <w:t>Ability to Benefit from DBVI Services and Trial Work Experiences</w:t>
            </w:r>
            <w:r w:rsidR="00702A3B" w:rsidRPr="005F4570">
              <w:rPr>
                <w:webHidden/>
                <w:sz w:val="24"/>
              </w:rPr>
              <w:tab/>
            </w:r>
            <w:r w:rsidR="00702A3B" w:rsidRPr="005F4570">
              <w:rPr>
                <w:webHidden/>
                <w:sz w:val="24"/>
              </w:rPr>
              <w:fldChar w:fldCharType="begin"/>
            </w:r>
            <w:r w:rsidR="00702A3B" w:rsidRPr="005F4570">
              <w:rPr>
                <w:webHidden/>
                <w:sz w:val="24"/>
              </w:rPr>
              <w:instrText xml:space="preserve"> PAGEREF _Toc31893983 \h </w:instrText>
            </w:r>
            <w:r w:rsidR="00702A3B" w:rsidRPr="005F4570">
              <w:rPr>
                <w:webHidden/>
                <w:sz w:val="24"/>
              </w:rPr>
            </w:r>
            <w:r w:rsidR="00702A3B" w:rsidRPr="005F4570">
              <w:rPr>
                <w:webHidden/>
                <w:sz w:val="24"/>
              </w:rPr>
              <w:fldChar w:fldCharType="separate"/>
            </w:r>
            <w:r w:rsidR="00F328A1">
              <w:rPr>
                <w:webHidden/>
                <w:sz w:val="24"/>
              </w:rPr>
              <w:t>5</w:t>
            </w:r>
            <w:r w:rsidR="00702A3B" w:rsidRPr="005F4570">
              <w:rPr>
                <w:webHidden/>
                <w:sz w:val="24"/>
              </w:rPr>
              <w:fldChar w:fldCharType="end"/>
            </w:r>
          </w:hyperlink>
        </w:p>
        <w:p w14:paraId="1B412CA7" w14:textId="6AD1722B" w:rsidR="00702A3B" w:rsidRPr="005F4570" w:rsidRDefault="006A3963">
          <w:pPr>
            <w:pStyle w:val="TOC2"/>
            <w:rPr>
              <w:color w:val="auto"/>
              <w:sz w:val="24"/>
              <w:szCs w:val="22"/>
              <w:lang w:eastAsia="en-US"/>
            </w:rPr>
          </w:pPr>
          <w:hyperlink w:anchor="_Toc31893984" w:history="1">
            <w:r w:rsidR="00702A3B" w:rsidRPr="005F4570">
              <w:rPr>
                <w:rStyle w:val="Hyperlink"/>
                <w:sz w:val="24"/>
              </w:rPr>
              <w:t>Presumptive Eligibility for SSDI and SSI Recipients</w:t>
            </w:r>
            <w:r w:rsidR="00702A3B" w:rsidRPr="005F4570">
              <w:rPr>
                <w:webHidden/>
                <w:sz w:val="24"/>
              </w:rPr>
              <w:tab/>
            </w:r>
            <w:r w:rsidR="00702A3B" w:rsidRPr="005F4570">
              <w:rPr>
                <w:webHidden/>
                <w:sz w:val="24"/>
              </w:rPr>
              <w:fldChar w:fldCharType="begin"/>
            </w:r>
            <w:r w:rsidR="00702A3B" w:rsidRPr="005F4570">
              <w:rPr>
                <w:webHidden/>
                <w:sz w:val="24"/>
              </w:rPr>
              <w:instrText xml:space="preserve"> PAGEREF _Toc31893984 \h </w:instrText>
            </w:r>
            <w:r w:rsidR="00702A3B" w:rsidRPr="005F4570">
              <w:rPr>
                <w:webHidden/>
                <w:sz w:val="24"/>
              </w:rPr>
            </w:r>
            <w:r w:rsidR="00702A3B" w:rsidRPr="005F4570">
              <w:rPr>
                <w:webHidden/>
                <w:sz w:val="24"/>
              </w:rPr>
              <w:fldChar w:fldCharType="separate"/>
            </w:r>
            <w:r w:rsidR="00F328A1">
              <w:rPr>
                <w:webHidden/>
                <w:sz w:val="24"/>
              </w:rPr>
              <w:t>6</w:t>
            </w:r>
            <w:r w:rsidR="00702A3B" w:rsidRPr="005F4570">
              <w:rPr>
                <w:webHidden/>
                <w:sz w:val="24"/>
              </w:rPr>
              <w:fldChar w:fldCharType="end"/>
            </w:r>
          </w:hyperlink>
        </w:p>
        <w:p w14:paraId="2E5ACB6D" w14:textId="5ED33FAD" w:rsidR="00702A3B" w:rsidRPr="005F4570" w:rsidRDefault="006A3963">
          <w:pPr>
            <w:pStyle w:val="TOC2"/>
            <w:rPr>
              <w:color w:val="auto"/>
              <w:sz w:val="24"/>
              <w:szCs w:val="22"/>
              <w:lang w:eastAsia="en-US"/>
            </w:rPr>
          </w:pPr>
          <w:hyperlink w:anchor="_Toc31893985" w:history="1">
            <w:r w:rsidR="00702A3B" w:rsidRPr="005F4570">
              <w:rPr>
                <w:rStyle w:val="Hyperlink"/>
                <w:sz w:val="24"/>
              </w:rPr>
              <w:t>Need for Further Medical Documentation or Functional Data</w:t>
            </w:r>
            <w:r w:rsidR="00702A3B" w:rsidRPr="005F4570">
              <w:rPr>
                <w:webHidden/>
                <w:sz w:val="24"/>
              </w:rPr>
              <w:tab/>
            </w:r>
            <w:r w:rsidR="00702A3B" w:rsidRPr="005F4570">
              <w:rPr>
                <w:webHidden/>
                <w:sz w:val="24"/>
              </w:rPr>
              <w:fldChar w:fldCharType="begin"/>
            </w:r>
            <w:r w:rsidR="00702A3B" w:rsidRPr="005F4570">
              <w:rPr>
                <w:webHidden/>
                <w:sz w:val="24"/>
              </w:rPr>
              <w:instrText xml:space="preserve"> PAGEREF _Toc31893985 \h </w:instrText>
            </w:r>
            <w:r w:rsidR="00702A3B" w:rsidRPr="005F4570">
              <w:rPr>
                <w:webHidden/>
                <w:sz w:val="24"/>
              </w:rPr>
            </w:r>
            <w:r w:rsidR="00702A3B" w:rsidRPr="005F4570">
              <w:rPr>
                <w:webHidden/>
                <w:sz w:val="24"/>
              </w:rPr>
              <w:fldChar w:fldCharType="separate"/>
            </w:r>
            <w:r w:rsidR="00F328A1">
              <w:rPr>
                <w:webHidden/>
                <w:sz w:val="24"/>
              </w:rPr>
              <w:t>6</w:t>
            </w:r>
            <w:r w:rsidR="00702A3B" w:rsidRPr="005F4570">
              <w:rPr>
                <w:webHidden/>
                <w:sz w:val="24"/>
              </w:rPr>
              <w:fldChar w:fldCharType="end"/>
            </w:r>
          </w:hyperlink>
        </w:p>
        <w:p w14:paraId="6C3AD662" w14:textId="24933DA7" w:rsidR="00702A3B" w:rsidRPr="005F4570" w:rsidRDefault="006A3963">
          <w:pPr>
            <w:pStyle w:val="TOC1"/>
            <w:rPr>
              <w:szCs w:val="22"/>
              <w:lang w:eastAsia="en-US"/>
            </w:rPr>
          </w:pPr>
          <w:hyperlink w:anchor="_Toc31893986" w:history="1">
            <w:r w:rsidR="00702A3B" w:rsidRPr="005F4570">
              <w:rPr>
                <w:rStyle w:val="Hyperlink"/>
              </w:rPr>
              <w:t>Section IV.</w:t>
            </w:r>
            <w:r w:rsidR="00702A3B" w:rsidRPr="005F4570">
              <w:rPr>
                <w:szCs w:val="22"/>
                <w:lang w:eastAsia="en-US"/>
              </w:rPr>
              <w:tab/>
            </w:r>
            <w:r w:rsidR="00702A3B" w:rsidRPr="005F4570">
              <w:rPr>
                <w:rStyle w:val="Hyperlink"/>
              </w:rPr>
              <w:t>Using Existing Information</w:t>
            </w:r>
            <w:r w:rsidR="00702A3B" w:rsidRPr="005F4570">
              <w:rPr>
                <w:webHidden/>
              </w:rPr>
              <w:tab/>
            </w:r>
            <w:r w:rsidR="00702A3B" w:rsidRPr="005F4570">
              <w:rPr>
                <w:webHidden/>
              </w:rPr>
              <w:fldChar w:fldCharType="begin"/>
            </w:r>
            <w:r w:rsidR="00702A3B" w:rsidRPr="005F4570">
              <w:rPr>
                <w:webHidden/>
              </w:rPr>
              <w:instrText xml:space="preserve"> PAGEREF _Toc31893986 \h </w:instrText>
            </w:r>
            <w:r w:rsidR="00702A3B" w:rsidRPr="005F4570">
              <w:rPr>
                <w:webHidden/>
              </w:rPr>
            </w:r>
            <w:r w:rsidR="00702A3B" w:rsidRPr="005F4570">
              <w:rPr>
                <w:webHidden/>
              </w:rPr>
              <w:fldChar w:fldCharType="separate"/>
            </w:r>
            <w:r w:rsidR="00F328A1">
              <w:rPr>
                <w:webHidden/>
              </w:rPr>
              <w:t>6</w:t>
            </w:r>
            <w:r w:rsidR="00702A3B" w:rsidRPr="005F4570">
              <w:rPr>
                <w:webHidden/>
              </w:rPr>
              <w:fldChar w:fldCharType="end"/>
            </w:r>
          </w:hyperlink>
        </w:p>
        <w:p w14:paraId="283F59E0" w14:textId="034B4E7C" w:rsidR="00702A3B" w:rsidRPr="005F4570" w:rsidRDefault="006A3963">
          <w:pPr>
            <w:pStyle w:val="TOC3"/>
            <w:rPr>
              <w:rFonts w:ascii="Franklin Gothic Medium" w:hAnsi="Franklin Gothic Medium"/>
              <w:sz w:val="24"/>
              <w:szCs w:val="22"/>
              <w:lang w:eastAsia="en-US"/>
            </w:rPr>
          </w:pPr>
          <w:hyperlink w:anchor="_Toc31893987" w:history="1">
            <w:r w:rsidR="00702A3B" w:rsidRPr="005F4570">
              <w:rPr>
                <w:rStyle w:val="Hyperlink"/>
                <w:rFonts w:ascii="Franklin Gothic Medium" w:hAnsi="Franklin Gothic Medium"/>
                <w:sz w:val="24"/>
              </w:rPr>
              <w:t>Guidance — Examples of counselor observation.</w:t>
            </w:r>
            <w:r w:rsidR="00702A3B" w:rsidRPr="005F4570">
              <w:rPr>
                <w:rFonts w:ascii="Franklin Gothic Medium" w:hAnsi="Franklin Gothic Medium"/>
                <w:webHidden/>
                <w:sz w:val="24"/>
              </w:rPr>
              <w:tab/>
            </w:r>
            <w:r w:rsidR="00702A3B" w:rsidRPr="005F4570">
              <w:rPr>
                <w:rFonts w:ascii="Franklin Gothic Medium" w:hAnsi="Franklin Gothic Medium"/>
                <w:webHidden/>
                <w:sz w:val="24"/>
              </w:rPr>
              <w:fldChar w:fldCharType="begin"/>
            </w:r>
            <w:r w:rsidR="00702A3B" w:rsidRPr="005F4570">
              <w:rPr>
                <w:rFonts w:ascii="Franklin Gothic Medium" w:hAnsi="Franklin Gothic Medium"/>
                <w:webHidden/>
                <w:sz w:val="24"/>
              </w:rPr>
              <w:instrText xml:space="preserve"> PAGEREF _Toc31893987 \h </w:instrText>
            </w:r>
            <w:r w:rsidR="00702A3B" w:rsidRPr="005F4570">
              <w:rPr>
                <w:rFonts w:ascii="Franklin Gothic Medium" w:hAnsi="Franklin Gothic Medium"/>
                <w:webHidden/>
                <w:sz w:val="24"/>
              </w:rPr>
            </w:r>
            <w:r w:rsidR="00702A3B" w:rsidRPr="005F4570">
              <w:rPr>
                <w:rFonts w:ascii="Franklin Gothic Medium" w:hAnsi="Franklin Gothic Medium"/>
                <w:webHidden/>
                <w:sz w:val="24"/>
              </w:rPr>
              <w:fldChar w:fldCharType="separate"/>
            </w:r>
            <w:r w:rsidR="00F328A1">
              <w:rPr>
                <w:rFonts w:ascii="Franklin Gothic Medium" w:hAnsi="Franklin Gothic Medium"/>
                <w:webHidden/>
                <w:sz w:val="24"/>
              </w:rPr>
              <w:t>7</w:t>
            </w:r>
            <w:r w:rsidR="00702A3B" w:rsidRPr="005F4570">
              <w:rPr>
                <w:rFonts w:ascii="Franklin Gothic Medium" w:hAnsi="Franklin Gothic Medium"/>
                <w:webHidden/>
                <w:sz w:val="24"/>
              </w:rPr>
              <w:fldChar w:fldCharType="end"/>
            </w:r>
          </w:hyperlink>
        </w:p>
        <w:p w14:paraId="2167ABFC" w14:textId="7954BE54" w:rsidR="00702A3B" w:rsidRPr="005F4570" w:rsidRDefault="006A3963">
          <w:pPr>
            <w:pStyle w:val="TOC3"/>
            <w:rPr>
              <w:rFonts w:ascii="Franklin Gothic Medium" w:hAnsi="Franklin Gothic Medium"/>
              <w:sz w:val="24"/>
              <w:szCs w:val="22"/>
              <w:lang w:eastAsia="en-US"/>
            </w:rPr>
          </w:pPr>
          <w:hyperlink w:anchor="_Toc31893988" w:history="1">
            <w:r w:rsidR="00702A3B" w:rsidRPr="005F4570">
              <w:rPr>
                <w:rStyle w:val="Hyperlink"/>
                <w:rFonts w:ascii="Franklin Gothic Medium" w:hAnsi="Franklin Gothic Medium"/>
                <w:sz w:val="24"/>
              </w:rPr>
              <w:t>Guidance — How to solicit and interpret existing information.</w:t>
            </w:r>
            <w:r w:rsidR="00702A3B" w:rsidRPr="005F4570">
              <w:rPr>
                <w:rFonts w:ascii="Franklin Gothic Medium" w:hAnsi="Franklin Gothic Medium"/>
                <w:webHidden/>
                <w:sz w:val="24"/>
              </w:rPr>
              <w:tab/>
            </w:r>
            <w:r w:rsidR="00702A3B" w:rsidRPr="005F4570">
              <w:rPr>
                <w:rFonts w:ascii="Franklin Gothic Medium" w:hAnsi="Franklin Gothic Medium"/>
                <w:webHidden/>
                <w:sz w:val="24"/>
              </w:rPr>
              <w:fldChar w:fldCharType="begin"/>
            </w:r>
            <w:r w:rsidR="00702A3B" w:rsidRPr="005F4570">
              <w:rPr>
                <w:rFonts w:ascii="Franklin Gothic Medium" w:hAnsi="Franklin Gothic Medium"/>
                <w:webHidden/>
                <w:sz w:val="24"/>
              </w:rPr>
              <w:instrText xml:space="preserve"> PAGEREF _Toc31893988 \h </w:instrText>
            </w:r>
            <w:r w:rsidR="00702A3B" w:rsidRPr="005F4570">
              <w:rPr>
                <w:rFonts w:ascii="Franklin Gothic Medium" w:hAnsi="Franklin Gothic Medium"/>
                <w:webHidden/>
                <w:sz w:val="24"/>
              </w:rPr>
            </w:r>
            <w:r w:rsidR="00702A3B" w:rsidRPr="005F4570">
              <w:rPr>
                <w:rFonts w:ascii="Franklin Gothic Medium" w:hAnsi="Franklin Gothic Medium"/>
                <w:webHidden/>
                <w:sz w:val="24"/>
              </w:rPr>
              <w:fldChar w:fldCharType="separate"/>
            </w:r>
            <w:r w:rsidR="00F328A1">
              <w:rPr>
                <w:rFonts w:ascii="Franklin Gothic Medium" w:hAnsi="Franklin Gothic Medium"/>
                <w:webHidden/>
                <w:sz w:val="24"/>
              </w:rPr>
              <w:t>7</w:t>
            </w:r>
            <w:r w:rsidR="00702A3B" w:rsidRPr="005F4570">
              <w:rPr>
                <w:rFonts w:ascii="Franklin Gothic Medium" w:hAnsi="Franklin Gothic Medium"/>
                <w:webHidden/>
                <w:sz w:val="24"/>
              </w:rPr>
              <w:fldChar w:fldCharType="end"/>
            </w:r>
          </w:hyperlink>
        </w:p>
        <w:p w14:paraId="213DB293" w14:textId="52C3F067" w:rsidR="00702A3B" w:rsidRPr="005F4570" w:rsidRDefault="006A3963">
          <w:pPr>
            <w:pStyle w:val="TOC1"/>
            <w:rPr>
              <w:szCs w:val="22"/>
              <w:lang w:eastAsia="en-US"/>
            </w:rPr>
          </w:pPr>
          <w:hyperlink w:anchor="_Toc31893989" w:history="1">
            <w:r w:rsidR="00702A3B" w:rsidRPr="005F4570">
              <w:rPr>
                <w:rStyle w:val="Hyperlink"/>
              </w:rPr>
              <w:t>Section V.</w:t>
            </w:r>
            <w:r w:rsidR="00702A3B" w:rsidRPr="005F4570">
              <w:rPr>
                <w:szCs w:val="22"/>
                <w:lang w:eastAsia="en-US"/>
              </w:rPr>
              <w:tab/>
            </w:r>
            <w:r w:rsidR="00702A3B" w:rsidRPr="005F4570">
              <w:rPr>
                <w:rStyle w:val="Hyperlink"/>
              </w:rPr>
              <w:t>Factors and Decisions in Determining Eligibility</w:t>
            </w:r>
            <w:r w:rsidR="00702A3B" w:rsidRPr="005F4570">
              <w:rPr>
                <w:webHidden/>
              </w:rPr>
              <w:tab/>
            </w:r>
            <w:r w:rsidR="00702A3B" w:rsidRPr="005F4570">
              <w:rPr>
                <w:webHidden/>
              </w:rPr>
              <w:fldChar w:fldCharType="begin"/>
            </w:r>
            <w:r w:rsidR="00702A3B" w:rsidRPr="005F4570">
              <w:rPr>
                <w:webHidden/>
              </w:rPr>
              <w:instrText xml:space="preserve"> PAGEREF _Toc31893989 \h </w:instrText>
            </w:r>
            <w:r w:rsidR="00702A3B" w:rsidRPr="005F4570">
              <w:rPr>
                <w:webHidden/>
              </w:rPr>
            </w:r>
            <w:r w:rsidR="00702A3B" w:rsidRPr="005F4570">
              <w:rPr>
                <w:webHidden/>
              </w:rPr>
              <w:fldChar w:fldCharType="separate"/>
            </w:r>
            <w:r w:rsidR="00F328A1">
              <w:rPr>
                <w:webHidden/>
              </w:rPr>
              <w:t>8</w:t>
            </w:r>
            <w:r w:rsidR="00702A3B" w:rsidRPr="005F4570">
              <w:rPr>
                <w:webHidden/>
              </w:rPr>
              <w:fldChar w:fldCharType="end"/>
            </w:r>
          </w:hyperlink>
        </w:p>
        <w:p w14:paraId="56F86494" w14:textId="5EA76334" w:rsidR="00702A3B" w:rsidRPr="005F4570" w:rsidRDefault="006A3963">
          <w:pPr>
            <w:pStyle w:val="TOC2"/>
            <w:rPr>
              <w:color w:val="auto"/>
              <w:sz w:val="24"/>
              <w:szCs w:val="22"/>
              <w:lang w:eastAsia="en-US"/>
            </w:rPr>
          </w:pPr>
          <w:hyperlink w:anchor="_Toc31893990" w:history="1">
            <w:r w:rsidR="00702A3B" w:rsidRPr="005F4570">
              <w:rPr>
                <w:rStyle w:val="Hyperlink"/>
                <w:sz w:val="24"/>
              </w:rPr>
              <w:t>Determining Primary vs.  Secondary Disability</w:t>
            </w:r>
            <w:r w:rsidR="00702A3B" w:rsidRPr="005F4570">
              <w:rPr>
                <w:webHidden/>
                <w:sz w:val="24"/>
              </w:rPr>
              <w:tab/>
            </w:r>
            <w:r w:rsidR="00702A3B" w:rsidRPr="005F4570">
              <w:rPr>
                <w:webHidden/>
                <w:sz w:val="24"/>
              </w:rPr>
              <w:fldChar w:fldCharType="begin"/>
            </w:r>
            <w:r w:rsidR="00702A3B" w:rsidRPr="005F4570">
              <w:rPr>
                <w:webHidden/>
                <w:sz w:val="24"/>
              </w:rPr>
              <w:instrText xml:space="preserve"> PAGEREF _Toc31893990 \h </w:instrText>
            </w:r>
            <w:r w:rsidR="00702A3B" w:rsidRPr="005F4570">
              <w:rPr>
                <w:webHidden/>
                <w:sz w:val="24"/>
              </w:rPr>
            </w:r>
            <w:r w:rsidR="00702A3B" w:rsidRPr="005F4570">
              <w:rPr>
                <w:webHidden/>
                <w:sz w:val="24"/>
              </w:rPr>
              <w:fldChar w:fldCharType="separate"/>
            </w:r>
            <w:r w:rsidR="00F328A1">
              <w:rPr>
                <w:webHidden/>
                <w:sz w:val="24"/>
              </w:rPr>
              <w:t>8</w:t>
            </w:r>
            <w:r w:rsidR="00702A3B" w:rsidRPr="005F4570">
              <w:rPr>
                <w:webHidden/>
                <w:sz w:val="24"/>
              </w:rPr>
              <w:fldChar w:fldCharType="end"/>
            </w:r>
          </w:hyperlink>
        </w:p>
        <w:p w14:paraId="12375DEE" w14:textId="45CEB7BC" w:rsidR="00702A3B" w:rsidRPr="005F4570" w:rsidRDefault="006A3963">
          <w:pPr>
            <w:pStyle w:val="TOC3"/>
            <w:rPr>
              <w:rFonts w:ascii="Franklin Gothic Medium" w:hAnsi="Franklin Gothic Medium"/>
              <w:sz w:val="24"/>
              <w:szCs w:val="22"/>
              <w:lang w:eastAsia="en-US"/>
            </w:rPr>
          </w:pPr>
          <w:hyperlink w:anchor="_Toc31893991" w:history="1">
            <w:r w:rsidR="00702A3B" w:rsidRPr="005F4570">
              <w:rPr>
                <w:rStyle w:val="Hyperlink"/>
                <w:rFonts w:ascii="Franklin Gothic Medium" w:hAnsi="Franklin Gothic Medium"/>
                <w:sz w:val="24"/>
              </w:rPr>
              <w:t>Guidance — Need for primary and secondary disability determination.</w:t>
            </w:r>
            <w:r w:rsidR="00702A3B" w:rsidRPr="005F4570">
              <w:rPr>
                <w:rFonts w:ascii="Franklin Gothic Medium" w:hAnsi="Franklin Gothic Medium"/>
                <w:webHidden/>
                <w:sz w:val="24"/>
              </w:rPr>
              <w:tab/>
            </w:r>
            <w:r w:rsidR="00702A3B" w:rsidRPr="005F4570">
              <w:rPr>
                <w:rFonts w:ascii="Franklin Gothic Medium" w:hAnsi="Franklin Gothic Medium"/>
                <w:webHidden/>
                <w:sz w:val="24"/>
              </w:rPr>
              <w:fldChar w:fldCharType="begin"/>
            </w:r>
            <w:r w:rsidR="00702A3B" w:rsidRPr="005F4570">
              <w:rPr>
                <w:rFonts w:ascii="Franklin Gothic Medium" w:hAnsi="Franklin Gothic Medium"/>
                <w:webHidden/>
                <w:sz w:val="24"/>
              </w:rPr>
              <w:instrText xml:space="preserve"> PAGEREF _Toc31893991 \h </w:instrText>
            </w:r>
            <w:r w:rsidR="00702A3B" w:rsidRPr="005F4570">
              <w:rPr>
                <w:rFonts w:ascii="Franklin Gothic Medium" w:hAnsi="Franklin Gothic Medium"/>
                <w:webHidden/>
                <w:sz w:val="24"/>
              </w:rPr>
            </w:r>
            <w:r w:rsidR="00702A3B" w:rsidRPr="005F4570">
              <w:rPr>
                <w:rFonts w:ascii="Franklin Gothic Medium" w:hAnsi="Franklin Gothic Medium"/>
                <w:webHidden/>
                <w:sz w:val="24"/>
              </w:rPr>
              <w:fldChar w:fldCharType="separate"/>
            </w:r>
            <w:r w:rsidR="00F328A1">
              <w:rPr>
                <w:rFonts w:ascii="Franklin Gothic Medium" w:hAnsi="Franklin Gothic Medium"/>
                <w:webHidden/>
                <w:sz w:val="24"/>
              </w:rPr>
              <w:t>8</w:t>
            </w:r>
            <w:r w:rsidR="00702A3B" w:rsidRPr="005F4570">
              <w:rPr>
                <w:rFonts w:ascii="Franklin Gothic Medium" w:hAnsi="Franklin Gothic Medium"/>
                <w:webHidden/>
                <w:sz w:val="24"/>
              </w:rPr>
              <w:fldChar w:fldCharType="end"/>
            </w:r>
          </w:hyperlink>
        </w:p>
        <w:p w14:paraId="711B36F8" w14:textId="032C6593" w:rsidR="00702A3B" w:rsidRPr="005F4570" w:rsidRDefault="006A3963">
          <w:pPr>
            <w:pStyle w:val="TOC2"/>
            <w:rPr>
              <w:color w:val="auto"/>
              <w:sz w:val="24"/>
              <w:szCs w:val="22"/>
              <w:lang w:eastAsia="en-US"/>
            </w:rPr>
          </w:pPr>
          <w:hyperlink w:anchor="_Toc31893992" w:history="1">
            <w:r w:rsidR="00702A3B" w:rsidRPr="005F4570">
              <w:rPr>
                <w:rStyle w:val="Hyperlink"/>
                <w:sz w:val="24"/>
              </w:rPr>
              <w:t>Determining Functional Capacity</w:t>
            </w:r>
            <w:r w:rsidR="00702A3B" w:rsidRPr="005F4570">
              <w:rPr>
                <w:webHidden/>
                <w:sz w:val="24"/>
              </w:rPr>
              <w:tab/>
            </w:r>
            <w:r w:rsidR="00702A3B" w:rsidRPr="005F4570">
              <w:rPr>
                <w:webHidden/>
                <w:sz w:val="24"/>
              </w:rPr>
              <w:fldChar w:fldCharType="begin"/>
            </w:r>
            <w:r w:rsidR="00702A3B" w:rsidRPr="005F4570">
              <w:rPr>
                <w:webHidden/>
                <w:sz w:val="24"/>
              </w:rPr>
              <w:instrText xml:space="preserve"> PAGEREF _Toc31893992 \h </w:instrText>
            </w:r>
            <w:r w:rsidR="00702A3B" w:rsidRPr="005F4570">
              <w:rPr>
                <w:webHidden/>
                <w:sz w:val="24"/>
              </w:rPr>
            </w:r>
            <w:r w:rsidR="00702A3B" w:rsidRPr="005F4570">
              <w:rPr>
                <w:webHidden/>
                <w:sz w:val="24"/>
              </w:rPr>
              <w:fldChar w:fldCharType="separate"/>
            </w:r>
            <w:r w:rsidR="00F328A1">
              <w:rPr>
                <w:webHidden/>
                <w:sz w:val="24"/>
              </w:rPr>
              <w:t>8</w:t>
            </w:r>
            <w:r w:rsidR="00702A3B" w:rsidRPr="005F4570">
              <w:rPr>
                <w:webHidden/>
                <w:sz w:val="24"/>
              </w:rPr>
              <w:fldChar w:fldCharType="end"/>
            </w:r>
          </w:hyperlink>
        </w:p>
        <w:p w14:paraId="3C18BB2F" w14:textId="3E44835F" w:rsidR="00702A3B" w:rsidRPr="005F4570" w:rsidRDefault="006A3963">
          <w:pPr>
            <w:pStyle w:val="TOC1"/>
            <w:rPr>
              <w:szCs w:val="22"/>
              <w:lang w:eastAsia="en-US"/>
            </w:rPr>
          </w:pPr>
          <w:hyperlink w:anchor="_Toc31893993" w:history="1">
            <w:r w:rsidR="00702A3B" w:rsidRPr="005F4570">
              <w:rPr>
                <w:rStyle w:val="Hyperlink"/>
              </w:rPr>
              <w:t>Section VI.</w:t>
            </w:r>
            <w:r w:rsidR="00702A3B" w:rsidRPr="005F4570">
              <w:rPr>
                <w:szCs w:val="22"/>
                <w:lang w:eastAsia="en-US"/>
              </w:rPr>
              <w:tab/>
            </w:r>
            <w:r w:rsidR="00702A3B" w:rsidRPr="005F4570">
              <w:rPr>
                <w:rStyle w:val="Hyperlink"/>
              </w:rPr>
              <w:t>Timeframe for Determining Eligibility</w:t>
            </w:r>
            <w:r w:rsidR="00702A3B" w:rsidRPr="005F4570">
              <w:rPr>
                <w:webHidden/>
              </w:rPr>
              <w:tab/>
            </w:r>
            <w:r w:rsidR="00702A3B" w:rsidRPr="005F4570">
              <w:rPr>
                <w:webHidden/>
              </w:rPr>
              <w:fldChar w:fldCharType="begin"/>
            </w:r>
            <w:r w:rsidR="00702A3B" w:rsidRPr="005F4570">
              <w:rPr>
                <w:webHidden/>
              </w:rPr>
              <w:instrText xml:space="preserve"> PAGEREF _Toc31893993 \h </w:instrText>
            </w:r>
            <w:r w:rsidR="00702A3B" w:rsidRPr="005F4570">
              <w:rPr>
                <w:webHidden/>
              </w:rPr>
            </w:r>
            <w:r w:rsidR="00702A3B" w:rsidRPr="005F4570">
              <w:rPr>
                <w:webHidden/>
              </w:rPr>
              <w:fldChar w:fldCharType="separate"/>
            </w:r>
            <w:r w:rsidR="00F328A1">
              <w:rPr>
                <w:webHidden/>
              </w:rPr>
              <w:t>9</w:t>
            </w:r>
            <w:r w:rsidR="00702A3B" w:rsidRPr="005F4570">
              <w:rPr>
                <w:webHidden/>
              </w:rPr>
              <w:fldChar w:fldCharType="end"/>
            </w:r>
          </w:hyperlink>
        </w:p>
        <w:p w14:paraId="1BD1D3EA" w14:textId="2B41CF33" w:rsidR="00702A3B" w:rsidRPr="005F4570" w:rsidRDefault="006A3963">
          <w:pPr>
            <w:pStyle w:val="TOC3"/>
            <w:rPr>
              <w:rFonts w:ascii="Franklin Gothic Medium" w:hAnsi="Franklin Gothic Medium"/>
              <w:sz w:val="24"/>
              <w:szCs w:val="22"/>
              <w:lang w:eastAsia="en-US"/>
            </w:rPr>
          </w:pPr>
          <w:hyperlink w:anchor="_Toc31893994" w:history="1">
            <w:r w:rsidR="00702A3B" w:rsidRPr="005F4570">
              <w:rPr>
                <w:rStyle w:val="Hyperlink"/>
                <w:rFonts w:ascii="Franklin Gothic Medium" w:hAnsi="Franklin Gothic Medium"/>
                <w:sz w:val="24"/>
              </w:rPr>
              <w:t>Guidance — Timeframes for determining eligibility.</w:t>
            </w:r>
            <w:r w:rsidR="00702A3B" w:rsidRPr="005F4570">
              <w:rPr>
                <w:rFonts w:ascii="Franklin Gothic Medium" w:hAnsi="Franklin Gothic Medium"/>
                <w:webHidden/>
                <w:sz w:val="24"/>
              </w:rPr>
              <w:tab/>
            </w:r>
            <w:r w:rsidR="00702A3B" w:rsidRPr="005F4570">
              <w:rPr>
                <w:rFonts w:ascii="Franklin Gothic Medium" w:hAnsi="Franklin Gothic Medium"/>
                <w:webHidden/>
                <w:sz w:val="24"/>
              </w:rPr>
              <w:fldChar w:fldCharType="begin"/>
            </w:r>
            <w:r w:rsidR="00702A3B" w:rsidRPr="005F4570">
              <w:rPr>
                <w:rFonts w:ascii="Franklin Gothic Medium" w:hAnsi="Franklin Gothic Medium"/>
                <w:webHidden/>
                <w:sz w:val="24"/>
              </w:rPr>
              <w:instrText xml:space="preserve"> PAGEREF _Toc31893994 \h </w:instrText>
            </w:r>
            <w:r w:rsidR="00702A3B" w:rsidRPr="005F4570">
              <w:rPr>
                <w:rFonts w:ascii="Franklin Gothic Medium" w:hAnsi="Franklin Gothic Medium"/>
                <w:webHidden/>
                <w:sz w:val="24"/>
              </w:rPr>
            </w:r>
            <w:r w:rsidR="00702A3B" w:rsidRPr="005F4570">
              <w:rPr>
                <w:rFonts w:ascii="Franklin Gothic Medium" w:hAnsi="Franklin Gothic Medium"/>
                <w:webHidden/>
                <w:sz w:val="24"/>
              </w:rPr>
              <w:fldChar w:fldCharType="separate"/>
            </w:r>
            <w:r w:rsidR="00F328A1">
              <w:rPr>
                <w:rFonts w:ascii="Franklin Gothic Medium" w:hAnsi="Franklin Gothic Medium"/>
                <w:webHidden/>
                <w:sz w:val="24"/>
              </w:rPr>
              <w:t>9</w:t>
            </w:r>
            <w:r w:rsidR="00702A3B" w:rsidRPr="005F4570">
              <w:rPr>
                <w:rFonts w:ascii="Franklin Gothic Medium" w:hAnsi="Franklin Gothic Medium"/>
                <w:webHidden/>
                <w:sz w:val="24"/>
              </w:rPr>
              <w:fldChar w:fldCharType="end"/>
            </w:r>
          </w:hyperlink>
        </w:p>
        <w:p w14:paraId="5BBB89AE" w14:textId="7A2C6FE7" w:rsidR="00702A3B" w:rsidRPr="005F4570" w:rsidRDefault="006A3963">
          <w:pPr>
            <w:pStyle w:val="TOC1"/>
            <w:rPr>
              <w:szCs w:val="22"/>
              <w:lang w:eastAsia="en-US"/>
            </w:rPr>
          </w:pPr>
          <w:hyperlink w:anchor="_Toc31893995" w:history="1">
            <w:r w:rsidR="00702A3B" w:rsidRPr="005F4570">
              <w:rPr>
                <w:rStyle w:val="Hyperlink"/>
              </w:rPr>
              <w:t>Section VII.</w:t>
            </w:r>
            <w:r w:rsidR="00702A3B" w:rsidRPr="005F4570">
              <w:rPr>
                <w:szCs w:val="22"/>
                <w:lang w:eastAsia="en-US"/>
              </w:rPr>
              <w:tab/>
            </w:r>
            <w:r w:rsidR="00702A3B" w:rsidRPr="005F4570">
              <w:rPr>
                <w:rStyle w:val="Hyperlink"/>
              </w:rPr>
              <w:t>Undocumented Individuals</w:t>
            </w:r>
            <w:r w:rsidR="00702A3B" w:rsidRPr="005F4570">
              <w:rPr>
                <w:webHidden/>
              </w:rPr>
              <w:tab/>
            </w:r>
            <w:r w:rsidR="00702A3B" w:rsidRPr="005F4570">
              <w:rPr>
                <w:webHidden/>
              </w:rPr>
              <w:fldChar w:fldCharType="begin"/>
            </w:r>
            <w:r w:rsidR="00702A3B" w:rsidRPr="005F4570">
              <w:rPr>
                <w:webHidden/>
              </w:rPr>
              <w:instrText xml:space="preserve"> PAGEREF _Toc31893995 \h </w:instrText>
            </w:r>
            <w:r w:rsidR="00702A3B" w:rsidRPr="005F4570">
              <w:rPr>
                <w:webHidden/>
              </w:rPr>
            </w:r>
            <w:r w:rsidR="00702A3B" w:rsidRPr="005F4570">
              <w:rPr>
                <w:webHidden/>
              </w:rPr>
              <w:fldChar w:fldCharType="separate"/>
            </w:r>
            <w:r w:rsidR="00F328A1">
              <w:rPr>
                <w:webHidden/>
              </w:rPr>
              <w:t>10</w:t>
            </w:r>
            <w:r w:rsidR="00702A3B" w:rsidRPr="005F4570">
              <w:rPr>
                <w:webHidden/>
              </w:rPr>
              <w:fldChar w:fldCharType="end"/>
            </w:r>
          </w:hyperlink>
        </w:p>
        <w:p w14:paraId="449DB19A" w14:textId="181E0A38" w:rsidR="00702A3B" w:rsidRPr="005F4570" w:rsidRDefault="006A3963">
          <w:pPr>
            <w:pStyle w:val="TOC1"/>
            <w:rPr>
              <w:szCs w:val="22"/>
              <w:lang w:eastAsia="en-US"/>
            </w:rPr>
          </w:pPr>
          <w:hyperlink w:anchor="_Toc31893996" w:history="1">
            <w:r w:rsidR="00702A3B" w:rsidRPr="005F4570">
              <w:rPr>
                <w:rStyle w:val="Hyperlink"/>
              </w:rPr>
              <w:t>Section VIII.</w:t>
            </w:r>
            <w:r w:rsidR="00702A3B" w:rsidRPr="005F4570">
              <w:rPr>
                <w:szCs w:val="22"/>
                <w:lang w:eastAsia="en-US"/>
              </w:rPr>
              <w:tab/>
            </w:r>
            <w:r w:rsidR="00702A3B" w:rsidRPr="005F4570">
              <w:rPr>
                <w:rStyle w:val="Hyperlink"/>
              </w:rPr>
              <w:t>Ineligibility Determinations</w:t>
            </w:r>
            <w:r w:rsidR="00702A3B" w:rsidRPr="005F4570">
              <w:rPr>
                <w:webHidden/>
              </w:rPr>
              <w:tab/>
            </w:r>
            <w:r w:rsidR="00702A3B" w:rsidRPr="005F4570">
              <w:rPr>
                <w:webHidden/>
              </w:rPr>
              <w:fldChar w:fldCharType="begin"/>
            </w:r>
            <w:r w:rsidR="00702A3B" w:rsidRPr="005F4570">
              <w:rPr>
                <w:webHidden/>
              </w:rPr>
              <w:instrText xml:space="preserve"> PAGEREF _Toc31893996 \h </w:instrText>
            </w:r>
            <w:r w:rsidR="00702A3B" w:rsidRPr="005F4570">
              <w:rPr>
                <w:webHidden/>
              </w:rPr>
            </w:r>
            <w:r w:rsidR="00702A3B" w:rsidRPr="005F4570">
              <w:rPr>
                <w:webHidden/>
              </w:rPr>
              <w:fldChar w:fldCharType="separate"/>
            </w:r>
            <w:r w:rsidR="00F328A1">
              <w:rPr>
                <w:webHidden/>
              </w:rPr>
              <w:t>10</w:t>
            </w:r>
            <w:r w:rsidR="00702A3B" w:rsidRPr="005F4570">
              <w:rPr>
                <w:webHidden/>
              </w:rPr>
              <w:fldChar w:fldCharType="end"/>
            </w:r>
          </w:hyperlink>
        </w:p>
        <w:p w14:paraId="70B32F2B" w14:textId="2817895E" w:rsidR="00702A3B" w:rsidRPr="005F4570" w:rsidRDefault="006A3963">
          <w:pPr>
            <w:pStyle w:val="TOC1"/>
            <w:rPr>
              <w:rStyle w:val="Hyperlink"/>
            </w:rPr>
          </w:pPr>
          <w:hyperlink w:anchor="_Toc31893997" w:history="1">
            <w:r w:rsidR="00702A3B" w:rsidRPr="005F4570">
              <w:rPr>
                <w:rStyle w:val="Hyperlink"/>
              </w:rPr>
              <w:t>Section IX.</w:t>
            </w:r>
            <w:r w:rsidR="00702A3B" w:rsidRPr="005F4570">
              <w:rPr>
                <w:szCs w:val="22"/>
                <w:lang w:eastAsia="en-US"/>
              </w:rPr>
              <w:tab/>
            </w:r>
            <w:r w:rsidR="00702A3B" w:rsidRPr="005F4570">
              <w:rPr>
                <w:rStyle w:val="Hyperlink"/>
              </w:rPr>
              <w:t>Closure without Eligibility Determination</w:t>
            </w:r>
            <w:r w:rsidR="00702A3B" w:rsidRPr="005F4570">
              <w:rPr>
                <w:webHidden/>
              </w:rPr>
              <w:tab/>
            </w:r>
            <w:r w:rsidR="00702A3B" w:rsidRPr="005F4570">
              <w:rPr>
                <w:webHidden/>
              </w:rPr>
              <w:fldChar w:fldCharType="begin"/>
            </w:r>
            <w:r w:rsidR="00702A3B" w:rsidRPr="005F4570">
              <w:rPr>
                <w:webHidden/>
              </w:rPr>
              <w:instrText xml:space="preserve"> PAGEREF _Toc31893997 \h </w:instrText>
            </w:r>
            <w:r w:rsidR="00702A3B" w:rsidRPr="005F4570">
              <w:rPr>
                <w:webHidden/>
              </w:rPr>
            </w:r>
            <w:r w:rsidR="00702A3B" w:rsidRPr="005F4570">
              <w:rPr>
                <w:webHidden/>
              </w:rPr>
              <w:fldChar w:fldCharType="separate"/>
            </w:r>
            <w:r w:rsidR="00F328A1">
              <w:rPr>
                <w:webHidden/>
              </w:rPr>
              <w:t>11</w:t>
            </w:r>
            <w:r w:rsidR="00702A3B" w:rsidRPr="005F4570">
              <w:rPr>
                <w:webHidden/>
              </w:rPr>
              <w:fldChar w:fldCharType="end"/>
            </w:r>
          </w:hyperlink>
        </w:p>
        <w:p w14:paraId="43EA0769" w14:textId="134766C9" w:rsidR="005F4570" w:rsidRPr="005F4570" w:rsidRDefault="005F4570" w:rsidP="005F4570">
          <w:pPr>
            <w:rPr>
              <w:rFonts w:ascii="Franklin Gothic Medium" w:hAnsi="Franklin Gothic Medium"/>
              <w:noProof/>
              <w:lang w:eastAsia="ja-JP"/>
            </w:rPr>
          </w:pPr>
          <w:r w:rsidRPr="005F4570">
            <w:rPr>
              <w:rFonts w:ascii="Franklin Gothic Medium" w:hAnsi="Franklin Gothic Medium"/>
              <w:noProof/>
              <w:lang w:eastAsia="ja-JP"/>
            </w:rPr>
            <w:t xml:space="preserve">Section X.  </w:t>
          </w:r>
          <w:r w:rsidRPr="005F4570">
            <w:rPr>
              <w:rFonts w:ascii="Franklin Gothic Medium" w:hAnsi="Franklin Gothic Medium"/>
              <w:noProof/>
              <w:lang w:eastAsia="ja-JP"/>
            </w:rPr>
            <w:tab/>
            <w:t>Closure with Eligibility Determination……………………………………</w:t>
          </w:r>
          <w:r w:rsidR="00FA1347">
            <w:rPr>
              <w:rFonts w:ascii="Franklin Gothic Medium" w:hAnsi="Franklin Gothic Medium"/>
              <w:noProof/>
              <w:lang w:eastAsia="ja-JP"/>
            </w:rPr>
            <w:t>..</w:t>
          </w:r>
          <w:r w:rsidRPr="005F4570">
            <w:rPr>
              <w:rFonts w:ascii="Franklin Gothic Medium" w:hAnsi="Franklin Gothic Medium"/>
              <w:noProof/>
              <w:lang w:eastAsia="ja-JP"/>
            </w:rPr>
            <w:t>…………………11</w:t>
          </w:r>
        </w:p>
        <w:p w14:paraId="3CC70BE7" w14:textId="252576BD" w:rsidR="00FF78DF" w:rsidRDefault="00FF78DF">
          <w:r>
            <w:rPr>
              <w:b/>
              <w:bCs/>
              <w:noProof/>
            </w:rPr>
            <w:fldChar w:fldCharType="end"/>
          </w:r>
        </w:p>
      </w:sdtContent>
    </w:sdt>
    <w:p w14:paraId="687A196E" w14:textId="77777777" w:rsidR="00C1032E" w:rsidRDefault="00C1032E" w:rsidP="00CC6127">
      <w:pPr>
        <w:pStyle w:val="BodyText"/>
        <w:sectPr w:rsidR="00C1032E" w:rsidSect="009E5CF4">
          <w:type w:val="continuous"/>
          <w:pgSz w:w="12240" w:h="15840"/>
          <w:pgMar w:top="1440" w:right="1440" w:bottom="1440" w:left="1440" w:header="720" w:footer="720" w:gutter="0"/>
          <w:cols w:space="720"/>
          <w:docGrid w:linePitch="360"/>
        </w:sectPr>
      </w:pPr>
    </w:p>
    <w:p w14:paraId="2F2E70B8" w14:textId="5C7FD263" w:rsidR="000C12EA" w:rsidRPr="00F67ACB" w:rsidRDefault="003F1E12" w:rsidP="00866E1D">
      <w:pPr>
        <w:pStyle w:val="Heading1"/>
        <w:numPr>
          <w:ilvl w:val="0"/>
          <w:numId w:val="46"/>
        </w:numPr>
      </w:pPr>
      <w:bookmarkStart w:id="2" w:name="_Toc31893976"/>
      <w:r>
        <w:lastRenderedPageBreak/>
        <w:t>Definitions</w:t>
      </w:r>
      <w:bookmarkEnd w:id="2"/>
    </w:p>
    <w:p w14:paraId="23A721EE" w14:textId="1521964D" w:rsidR="000C12EA" w:rsidRPr="007B53D5" w:rsidRDefault="00FC078E" w:rsidP="001D06B2">
      <w:pPr>
        <w:pStyle w:val="BodyText"/>
        <w:numPr>
          <w:ilvl w:val="1"/>
          <w:numId w:val="46"/>
        </w:numPr>
      </w:pPr>
      <w:r w:rsidRPr="00743206">
        <w:rPr>
          <w:rStyle w:val="Emphasis"/>
        </w:rPr>
        <w:t>“</w:t>
      </w:r>
      <w:r w:rsidR="000C12EA" w:rsidRPr="00743206">
        <w:rPr>
          <w:rStyle w:val="Emphasis"/>
        </w:rPr>
        <w:t>Family member”</w:t>
      </w:r>
      <w:r w:rsidR="001D06B2">
        <w:rPr>
          <w:rStyle w:val="Emphasis"/>
        </w:rPr>
        <w:t>,</w:t>
      </w:r>
      <w:r w:rsidR="000C12EA" w:rsidRPr="007B53D5">
        <w:t xml:space="preserve"> for purposes of receiving vocational rehabilitation services, means a person: </w:t>
      </w:r>
    </w:p>
    <w:p w14:paraId="5DCD6E31" w14:textId="77777777" w:rsidR="000C12EA" w:rsidRPr="007B53D5" w:rsidRDefault="000C12EA" w:rsidP="00866E1D">
      <w:pPr>
        <w:pStyle w:val="ListParagraph"/>
        <w:numPr>
          <w:ilvl w:val="2"/>
          <w:numId w:val="46"/>
        </w:numPr>
      </w:pPr>
      <w:r w:rsidRPr="007B53D5">
        <w:t>Who either—</w:t>
      </w:r>
    </w:p>
    <w:p w14:paraId="2D0939A0" w14:textId="77777777" w:rsidR="000C12EA" w:rsidRPr="007B53D5" w:rsidRDefault="000C12EA" w:rsidP="00866E1D">
      <w:pPr>
        <w:pStyle w:val="ListParagraph"/>
        <w:numPr>
          <w:ilvl w:val="3"/>
          <w:numId w:val="46"/>
        </w:numPr>
      </w:pPr>
      <w:r w:rsidRPr="007B53D5">
        <w:t>Is a relative or guardian of an applicant or eligible person; or</w:t>
      </w:r>
    </w:p>
    <w:p w14:paraId="55F47136" w14:textId="77777777" w:rsidR="000C12EA" w:rsidRPr="007B53D5" w:rsidRDefault="000C12EA" w:rsidP="00866E1D">
      <w:pPr>
        <w:pStyle w:val="ListParagraph"/>
        <w:numPr>
          <w:ilvl w:val="3"/>
          <w:numId w:val="46"/>
        </w:numPr>
      </w:pPr>
      <w:r w:rsidRPr="007B53D5">
        <w:t xml:space="preserve">Lives in the same household as an applicant or eligible </w:t>
      </w:r>
      <w:proofErr w:type="gramStart"/>
      <w:r w:rsidRPr="007B53D5">
        <w:t>person;</w:t>
      </w:r>
      <w:proofErr w:type="gramEnd"/>
    </w:p>
    <w:p w14:paraId="1DA80667" w14:textId="77777777" w:rsidR="000C12EA" w:rsidRPr="007B53D5" w:rsidRDefault="000C12EA" w:rsidP="00866E1D">
      <w:pPr>
        <w:pStyle w:val="ListParagraph"/>
        <w:numPr>
          <w:ilvl w:val="2"/>
          <w:numId w:val="46"/>
        </w:numPr>
      </w:pPr>
      <w:r w:rsidRPr="007B53D5">
        <w:t xml:space="preserve">Who has a substantial interest in the well-being of that person; </w:t>
      </w:r>
      <w:proofErr w:type="gramStart"/>
      <w:r w:rsidRPr="007B53D5">
        <w:t>and</w:t>
      </w:r>
      <w:proofErr w:type="gramEnd"/>
    </w:p>
    <w:p w14:paraId="520A5277" w14:textId="16156D38" w:rsidR="00224852" w:rsidRDefault="000C12EA" w:rsidP="00866E1D">
      <w:pPr>
        <w:pStyle w:val="ListParagraph"/>
        <w:numPr>
          <w:ilvl w:val="2"/>
          <w:numId w:val="46"/>
        </w:numPr>
      </w:pPr>
      <w:r w:rsidRPr="007B53D5">
        <w:t>Whose receipt of vocational rehabilitation serv</w:t>
      </w:r>
      <w:r w:rsidR="00FC078E" w:rsidRPr="007B53D5">
        <w:t xml:space="preserve">ices is necessary to enable the </w:t>
      </w:r>
      <w:r w:rsidRPr="007B53D5">
        <w:t>applicant or eligible person to</w:t>
      </w:r>
      <w:r w:rsidR="00D1380D">
        <w:t xml:space="preserve"> achieve an employment outcome</w:t>
      </w:r>
      <w:r w:rsidR="00147BB3">
        <w:t xml:space="preserve">.  </w:t>
      </w:r>
    </w:p>
    <w:p w14:paraId="710A9025" w14:textId="77777777" w:rsidR="005C0D57" w:rsidRDefault="005C0D57" w:rsidP="00901446">
      <w:pPr>
        <w:pStyle w:val="ListParagraph"/>
        <w:ind w:left="360"/>
      </w:pPr>
    </w:p>
    <w:p w14:paraId="3D48D161" w14:textId="0EDE9637" w:rsidR="005C0D57" w:rsidRPr="007B53D5" w:rsidRDefault="005C0D57" w:rsidP="00901446">
      <w:pPr>
        <w:pStyle w:val="ListParagraph"/>
        <w:numPr>
          <w:ilvl w:val="1"/>
          <w:numId w:val="46"/>
        </w:numPr>
      </w:pPr>
      <w:r w:rsidRPr="001D06B2">
        <w:rPr>
          <w:rStyle w:val="Emphasis"/>
        </w:rPr>
        <w:t>“Individual’s representative”</w:t>
      </w:r>
      <w:r w:rsidR="00CA2C62">
        <w:t xml:space="preserve">, </w:t>
      </w:r>
      <w:r>
        <w:t>for purposes of receiving vocational rehabilitation services, means a representative chosen by the applicant</w:t>
      </w:r>
      <w:r w:rsidR="00A82124">
        <w:t xml:space="preserve"> or eligible individual to</w:t>
      </w:r>
      <w:r>
        <w:t xml:space="preserve"> </w:t>
      </w:r>
      <w:r w:rsidR="00A82124">
        <w:t>act on his/her behalf, including a parent or other family member, guardian, or advocate, unless a representative has been appointed by a court to represent the individual</w:t>
      </w:r>
      <w:r w:rsidR="00147BB3">
        <w:t xml:space="preserve">.  </w:t>
      </w:r>
    </w:p>
    <w:p w14:paraId="32D46242" w14:textId="77777777" w:rsidR="000C12EA" w:rsidRPr="007B53D5" w:rsidRDefault="000C12EA" w:rsidP="00866E1D">
      <w:pPr>
        <w:pStyle w:val="BodyText"/>
        <w:numPr>
          <w:ilvl w:val="1"/>
          <w:numId w:val="46"/>
        </w:numPr>
      </w:pPr>
      <w:r w:rsidRPr="00743206">
        <w:rPr>
          <w:rStyle w:val="Emphasis"/>
        </w:rPr>
        <w:t>"Individual with a significant disability"</w:t>
      </w:r>
      <w:r w:rsidRPr="007B53D5">
        <w:t xml:space="preserve"> means a person: </w:t>
      </w:r>
    </w:p>
    <w:p w14:paraId="18CA5951" w14:textId="77777777" w:rsidR="000C12EA" w:rsidRPr="007B53D5" w:rsidRDefault="000C12EA" w:rsidP="00866E1D">
      <w:pPr>
        <w:pStyle w:val="ListParagraph"/>
        <w:numPr>
          <w:ilvl w:val="2"/>
          <w:numId w:val="46"/>
        </w:numPr>
      </w:pPr>
      <w:r w:rsidRPr="007B53D5">
        <w:t>Who has a significant physical or mental impairment which seriously limits one or more functional capacities (such as mobility, communication, self</w:t>
      </w:r>
      <w:r w:rsidR="0013296C" w:rsidRPr="007B53D5">
        <w:t>-</w:t>
      </w:r>
      <w:r w:rsidRPr="007B53D5">
        <w:t xml:space="preserve">care, self-direction, interpersonal skills, work tolerance, or work skills) in terms of an employment </w:t>
      </w:r>
      <w:proofErr w:type="gramStart"/>
      <w:r w:rsidRPr="007B53D5">
        <w:t>outcome;</w:t>
      </w:r>
      <w:proofErr w:type="gramEnd"/>
      <w:r w:rsidRPr="007B53D5">
        <w:t xml:space="preserve"> </w:t>
      </w:r>
    </w:p>
    <w:p w14:paraId="25D13C03" w14:textId="77777777" w:rsidR="000C12EA" w:rsidRPr="007B53D5" w:rsidRDefault="000C12EA" w:rsidP="00866E1D">
      <w:pPr>
        <w:pStyle w:val="ListParagraph"/>
        <w:numPr>
          <w:ilvl w:val="2"/>
          <w:numId w:val="46"/>
        </w:numPr>
      </w:pPr>
      <w:r w:rsidRPr="007B53D5">
        <w:t xml:space="preserve">Whose vocational rehabilitation can be expected to require multiple vocational rehabilitation services over an extended </w:t>
      </w:r>
      <w:proofErr w:type="gramStart"/>
      <w:r w:rsidRPr="007B53D5">
        <w:t>period of time</w:t>
      </w:r>
      <w:proofErr w:type="gramEnd"/>
      <w:r w:rsidRPr="007B53D5">
        <w:t xml:space="preserve">; and </w:t>
      </w:r>
    </w:p>
    <w:p w14:paraId="55F57EBD" w14:textId="7846D594" w:rsidR="00A82124" w:rsidRDefault="000C12EA" w:rsidP="00CA2C62">
      <w:pPr>
        <w:pStyle w:val="ListParagraph"/>
        <w:numPr>
          <w:ilvl w:val="2"/>
          <w:numId w:val="46"/>
        </w:numPr>
      </w:pPr>
      <w:r w:rsidRPr="007B53D5">
        <w:t xml:space="preserve">Who has one or more physical or mental disabilities resulting from amputation, arthritis, autism, blindness, burn injury, cancer, cerebral palsy, cystic fibrosis, deafness, head injury, heart disease, hemiplegia, hemophilia, respiratory or pulmonary dysfunction, </w:t>
      </w:r>
      <w:r w:rsidR="00022B31">
        <w:t>intellectual disability</w:t>
      </w:r>
      <w:r w:rsidRPr="007B53D5">
        <w:t>, mental illness, multiple sclerosis, muscular dystrophy, musculoskeletal disorders,</w:t>
      </w:r>
      <w:r w:rsidR="00FC078E" w:rsidRPr="007B53D5">
        <w:t xml:space="preserve"> </w:t>
      </w:r>
      <w:r w:rsidRPr="007B53D5">
        <w:t>neurological</w:t>
      </w:r>
      <w:r w:rsidR="0013296C" w:rsidRPr="007B53D5">
        <w:t xml:space="preserve"> </w:t>
      </w:r>
      <w:r w:rsidRPr="007B53D5">
        <w:t>disorders</w:t>
      </w:r>
      <w:r w:rsidR="0013296C" w:rsidRPr="007B53D5">
        <w:t xml:space="preserve"> </w:t>
      </w:r>
      <w:r w:rsidRPr="007B53D5">
        <w:t>(including</w:t>
      </w:r>
      <w:r w:rsidR="0013296C" w:rsidRPr="007B53D5">
        <w:t xml:space="preserve"> </w:t>
      </w:r>
      <w:r w:rsidRPr="007B53D5">
        <w:t>stroke</w:t>
      </w:r>
      <w:r w:rsidR="0013296C" w:rsidRPr="007B53D5">
        <w:t xml:space="preserve"> </w:t>
      </w:r>
      <w:r w:rsidRPr="007B53D5">
        <w:t>and</w:t>
      </w:r>
      <w:r w:rsidR="0013296C" w:rsidRPr="007B53D5">
        <w:t xml:space="preserve"> </w:t>
      </w:r>
      <w:r w:rsidRPr="007B53D5">
        <w:t>epilepsy), paraplegia, quadriplegia, and other spinal cord conditions, sickle cell anemia, specific learning disability, end-stage renal disease, or another disability or combination of disabilities determined on the basis of an assessment for determining eligibility and vocational rehabilitation needs to</w:t>
      </w:r>
      <w:r w:rsidR="0013296C" w:rsidRPr="007B53D5">
        <w:t xml:space="preserve"> </w:t>
      </w:r>
      <w:r w:rsidRPr="007B53D5">
        <w:t>cause comparable substantial functional limitation</w:t>
      </w:r>
      <w:r w:rsidR="00147BB3">
        <w:t xml:space="preserve">.  </w:t>
      </w:r>
    </w:p>
    <w:p w14:paraId="3417A6D5" w14:textId="555A73B4" w:rsidR="000C12EA" w:rsidRDefault="000C12EA" w:rsidP="00866E1D">
      <w:pPr>
        <w:pStyle w:val="BodyText"/>
        <w:numPr>
          <w:ilvl w:val="1"/>
          <w:numId w:val="46"/>
        </w:numPr>
      </w:pPr>
      <w:r w:rsidRPr="00743206">
        <w:rPr>
          <w:rStyle w:val="Emphasis"/>
        </w:rPr>
        <w:t>“Requires services”</w:t>
      </w:r>
      <w:r w:rsidRPr="007B53D5">
        <w:t xml:space="preserve"> means that, without provision of vocational rehabilitation services, the person would not be able to prepare for, enter into, engage in, </w:t>
      </w:r>
      <w:r w:rsidR="00463852">
        <w:t xml:space="preserve">advance in, </w:t>
      </w:r>
      <w:r w:rsidRPr="007B53D5">
        <w:t xml:space="preserve">or retain gainful </w:t>
      </w:r>
      <w:r w:rsidR="00846928">
        <w:t>e</w:t>
      </w:r>
      <w:r w:rsidRPr="007B53D5">
        <w:t>mployment consistent with his/her strengths, resources, priorities, concerns, abilities, capabilities, and informed choice</w:t>
      </w:r>
      <w:r w:rsidR="00147BB3">
        <w:t xml:space="preserve">.  </w:t>
      </w:r>
    </w:p>
    <w:p w14:paraId="6801A2C2" w14:textId="7D3D1366" w:rsidR="00E60676" w:rsidRPr="007B53D5" w:rsidRDefault="00E60676" w:rsidP="00866E1D">
      <w:pPr>
        <w:pStyle w:val="BodyText"/>
        <w:numPr>
          <w:ilvl w:val="1"/>
          <w:numId w:val="46"/>
        </w:numPr>
      </w:pPr>
      <w:r>
        <w:rPr>
          <w:rStyle w:val="Emphasis"/>
        </w:rPr>
        <w:t xml:space="preserve">“Trial Work Experience” </w:t>
      </w:r>
      <w:r w:rsidR="00D66F59" w:rsidRPr="00450213">
        <w:t>means supported employment, on the job training, progressive employment training placements and other experiences using realistic integrated work settings</w:t>
      </w:r>
      <w:r w:rsidR="00147BB3">
        <w:t xml:space="preserve">.  </w:t>
      </w:r>
    </w:p>
    <w:p w14:paraId="7C2C35D5" w14:textId="7548BCA1" w:rsidR="00670778" w:rsidRDefault="008D6B22" w:rsidP="00670778">
      <w:pPr>
        <w:pStyle w:val="BodyText"/>
        <w:numPr>
          <w:ilvl w:val="1"/>
          <w:numId w:val="46"/>
        </w:numPr>
        <w:rPr>
          <w:rStyle w:val="Emphasis"/>
          <w:rFonts w:ascii="Franklin Gothic Book" w:hAnsi="Franklin Gothic Book"/>
          <w:iCs w:val="0"/>
          <w:color w:val="auto"/>
        </w:rPr>
      </w:pPr>
      <w:r>
        <w:rPr>
          <w:rStyle w:val="Emphasis"/>
          <w:bCs/>
          <w:iCs w:val="0"/>
        </w:rPr>
        <w:lastRenderedPageBreak/>
        <w:t>“</w:t>
      </w:r>
      <w:r w:rsidR="00670778" w:rsidRPr="008D6B22">
        <w:rPr>
          <w:rStyle w:val="Emphasis"/>
          <w:bCs/>
          <w:iCs w:val="0"/>
        </w:rPr>
        <w:t>Legally blind</w:t>
      </w:r>
      <w:r>
        <w:rPr>
          <w:rStyle w:val="Emphasis"/>
          <w:bCs/>
          <w:iCs w:val="0"/>
        </w:rPr>
        <w:t>”</w:t>
      </w:r>
      <w:r w:rsidR="00670778">
        <w:rPr>
          <w:rStyle w:val="Emphasis"/>
          <w:rFonts w:ascii="Franklin Gothic Book" w:hAnsi="Franklin Gothic Book"/>
          <w:iCs w:val="0"/>
          <w:color w:val="auto"/>
        </w:rPr>
        <w:t>:  1</w:t>
      </w:r>
      <w:r w:rsidR="00147BB3">
        <w:rPr>
          <w:rStyle w:val="Emphasis"/>
          <w:rFonts w:ascii="Franklin Gothic Book" w:hAnsi="Franklin Gothic Book"/>
          <w:iCs w:val="0"/>
          <w:color w:val="auto"/>
        </w:rPr>
        <w:t xml:space="preserve">.  </w:t>
      </w:r>
      <w:r w:rsidR="00670778">
        <w:rPr>
          <w:rStyle w:val="Emphasis"/>
          <w:rFonts w:ascii="Franklin Gothic Book" w:hAnsi="Franklin Gothic Book"/>
          <w:iCs w:val="0"/>
          <w:color w:val="auto"/>
        </w:rPr>
        <w:t>Central acuity does not exceed 20/200 in the better eye with corrections; or 2</w:t>
      </w:r>
      <w:r w:rsidR="00147BB3">
        <w:rPr>
          <w:rStyle w:val="Emphasis"/>
          <w:rFonts w:ascii="Franklin Gothic Book" w:hAnsi="Franklin Gothic Book"/>
          <w:iCs w:val="0"/>
          <w:color w:val="auto"/>
        </w:rPr>
        <w:t xml:space="preserve">.  </w:t>
      </w:r>
      <w:r w:rsidR="00670778">
        <w:rPr>
          <w:rStyle w:val="Emphasis"/>
          <w:rFonts w:ascii="Franklin Gothic Book" w:hAnsi="Franklin Gothic Book"/>
          <w:iCs w:val="0"/>
          <w:color w:val="auto"/>
        </w:rPr>
        <w:t xml:space="preserve"> The field of vision is restricted to 20 degrees or less i.e., there is little peripheral vision.</w:t>
      </w:r>
    </w:p>
    <w:p w14:paraId="152BD9F9" w14:textId="440F34ED" w:rsidR="00E75BA4" w:rsidRPr="00670778" w:rsidRDefault="008D6B22" w:rsidP="00670778">
      <w:pPr>
        <w:pStyle w:val="BodyText"/>
        <w:numPr>
          <w:ilvl w:val="1"/>
          <w:numId w:val="46"/>
        </w:numPr>
        <w:rPr>
          <w:rStyle w:val="Emphasis"/>
          <w:rFonts w:ascii="Franklin Gothic Book" w:hAnsi="Franklin Gothic Book"/>
          <w:iCs w:val="0"/>
          <w:color w:val="auto"/>
        </w:rPr>
      </w:pPr>
      <w:r>
        <w:rPr>
          <w:rStyle w:val="Emphasis"/>
          <w:bCs/>
          <w:iCs w:val="0"/>
        </w:rPr>
        <w:t>“</w:t>
      </w:r>
      <w:r w:rsidR="00E75BA4" w:rsidRPr="008D6B22">
        <w:rPr>
          <w:rStyle w:val="Emphasis"/>
          <w:bCs/>
          <w:iCs w:val="0"/>
        </w:rPr>
        <w:t>Visual Impairment</w:t>
      </w:r>
      <w:r>
        <w:rPr>
          <w:rStyle w:val="Emphasis"/>
          <w:bCs/>
          <w:iCs w:val="0"/>
        </w:rPr>
        <w:t>”</w:t>
      </w:r>
      <w:r w:rsidR="00E75BA4" w:rsidRPr="00E75BA4">
        <w:rPr>
          <w:rStyle w:val="Emphasis"/>
          <w:rFonts w:ascii="Franklin Gothic Book" w:hAnsi="Franklin Gothic Book"/>
          <w:iCs w:val="0"/>
          <w:color w:val="auto"/>
        </w:rPr>
        <w:t>:</w:t>
      </w:r>
      <w:r w:rsidR="00E75BA4">
        <w:rPr>
          <w:rStyle w:val="Emphasis"/>
          <w:rFonts w:ascii="Franklin Gothic Book" w:hAnsi="Franklin Gothic Book"/>
          <w:iCs w:val="0"/>
          <w:color w:val="auto"/>
        </w:rPr>
        <w:t xml:space="preserve">  an eye condition may not be so severe as to be legally blind, but vision in the better eye with best correction is not better than 20/50; or, the condition is of a progressive nature which, if untreated, can reasonably be expected to lead to blindness.</w:t>
      </w:r>
    </w:p>
    <w:p w14:paraId="0A6811A6" w14:textId="6C9D4882" w:rsidR="00224852" w:rsidRPr="007B53D5" w:rsidRDefault="000C12EA" w:rsidP="00866E1D">
      <w:pPr>
        <w:pStyle w:val="BodyText"/>
        <w:numPr>
          <w:ilvl w:val="1"/>
          <w:numId w:val="46"/>
        </w:numPr>
      </w:pPr>
      <w:r w:rsidRPr="00743206">
        <w:rPr>
          <w:rStyle w:val="Emphasis"/>
        </w:rPr>
        <w:t xml:space="preserve">“Substantial </w:t>
      </w:r>
      <w:r w:rsidRPr="00670778">
        <w:rPr>
          <w:rStyle w:val="Emphasis"/>
        </w:rPr>
        <w:t>impediment</w:t>
      </w:r>
      <w:r w:rsidRPr="00743206">
        <w:rPr>
          <w:rStyle w:val="Emphasis"/>
        </w:rPr>
        <w:t xml:space="preserve"> to employment”</w:t>
      </w:r>
      <w:r w:rsidRPr="007B53D5">
        <w:t xml:space="preserve"> means that a physical or mental impairment (in light of attendant, medical, psychological, vocational, educational, and other related factors) hinders a person from preparin</w:t>
      </w:r>
      <w:r w:rsidR="00450213">
        <w:t xml:space="preserve">g for, </w:t>
      </w:r>
      <w:r w:rsidRPr="007B53D5">
        <w:t>entering into, engaging in, or retaining employment consistent with his/her abilities and capabilities</w:t>
      </w:r>
      <w:r w:rsidR="00147BB3">
        <w:t xml:space="preserve">.  </w:t>
      </w:r>
    </w:p>
    <w:p w14:paraId="5579BFBB" w14:textId="1A74F129" w:rsidR="00224852" w:rsidRPr="008B699B" w:rsidRDefault="000C12EA" w:rsidP="00866E1D">
      <w:pPr>
        <w:pStyle w:val="Heading1"/>
        <w:numPr>
          <w:ilvl w:val="0"/>
          <w:numId w:val="46"/>
        </w:numPr>
      </w:pPr>
      <w:bookmarkStart w:id="3" w:name="_Toc31893977"/>
      <w:r w:rsidRPr="008B699B">
        <w:t>Prohibited Factors</w:t>
      </w:r>
      <w:bookmarkEnd w:id="3"/>
      <w:r w:rsidRPr="008B699B">
        <w:t xml:space="preserve"> </w:t>
      </w:r>
    </w:p>
    <w:p w14:paraId="3ABD4C24" w14:textId="4E19491C" w:rsidR="000C12EA" w:rsidRPr="008B699B" w:rsidRDefault="00463852" w:rsidP="00866E1D">
      <w:pPr>
        <w:pStyle w:val="BodyText"/>
      </w:pPr>
      <w:r>
        <w:t xml:space="preserve">When determining eligibility for vocational rehabilitation services, the </w:t>
      </w:r>
      <w:r w:rsidR="000C12EA" w:rsidRPr="008B699B">
        <w:t xml:space="preserve">following </w:t>
      </w:r>
      <w:r>
        <w:t>factors apply</w:t>
      </w:r>
      <w:r w:rsidR="00450213">
        <w:t xml:space="preserve"> or are prohibited: </w:t>
      </w:r>
    </w:p>
    <w:p w14:paraId="0B1EC770" w14:textId="14DCD54F" w:rsidR="000C12EA" w:rsidRPr="008B699B" w:rsidRDefault="000C12EA" w:rsidP="00866E1D">
      <w:pPr>
        <w:pStyle w:val="BodyText"/>
        <w:numPr>
          <w:ilvl w:val="1"/>
          <w:numId w:val="46"/>
        </w:numPr>
      </w:pPr>
      <w:r w:rsidRPr="008B699B">
        <w:t>No duration of residence requirement shall be imposed that excludes from services any a</w:t>
      </w:r>
      <w:r w:rsidR="00166C77">
        <w:t>pplicant who is present in the s</w:t>
      </w:r>
      <w:r w:rsidRPr="008B699B">
        <w:t xml:space="preserve">tate unless the person is in the United States </w:t>
      </w:r>
      <w:proofErr w:type="gramStart"/>
      <w:r w:rsidRPr="008B699B">
        <w:t>illegally;</w:t>
      </w:r>
      <w:proofErr w:type="gramEnd"/>
      <w:r w:rsidRPr="008B699B">
        <w:t xml:space="preserve"> </w:t>
      </w:r>
    </w:p>
    <w:p w14:paraId="36D5DCAB" w14:textId="25BB8D51" w:rsidR="000C12EA" w:rsidRPr="008E5279" w:rsidRDefault="000C12EA" w:rsidP="008E5279">
      <w:pPr>
        <w:pStyle w:val="Heading3"/>
      </w:pPr>
      <w:bookmarkStart w:id="4" w:name="_Toc31893978"/>
      <w:r w:rsidRPr="008E5279">
        <w:t>G</w:t>
      </w:r>
      <w:r w:rsidR="00224852" w:rsidRPr="008E5279">
        <w:t>uidance — Residency requirements.</w:t>
      </w:r>
      <w:bookmarkEnd w:id="4"/>
    </w:p>
    <w:p w14:paraId="457F62D0" w14:textId="61E931B6" w:rsidR="000C12EA" w:rsidRPr="00BA1213" w:rsidRDefault="000C12EA" w:rsidP="006D255A">
      <w:pPr>
        <w:pStyle w:val="Quote"/>
        <w:numPr>
          <w:ilvl w:val="0"/>
          <w:numId w:val="10"/>
        </w:numPr>
      </w:pPr>
      <w:r w:rsidRPr="00BA1213">
        <w:t>Length of time in the state shall not be a factor in provision of services to a person</w:t>
      </w:r>
      <w:r w:rsidR="00553B19">
        <w:t>,</w:t>
      </w:r>
      <w:r w:rsidRPr="00BA1213">
        <w:t xml:space="preserve"> provided that the basic conditions of eligibility are met</w:t>
      </w:r>
      <w:r w:rsidR="00147BB3">
        <w:t xml:space="preserve">.  </w:t>
      </w:r>
    </w:p>
    <w:p w14:paraId="42FEA579" w14:textId="1150EDC5" w:rsidR="000C12EA" w:rsidRPr="00BA1213" w:rsidRDefault="000C12EA" w:rsidP="006D255A">
      <w:pPr>
        <w:pStyle w:val="Quote"/>
        <w:numPr>
          <w:ilvl w:val="0"/>
          <w:numId w:val="10"/>
        </w:numPr>
      </w:pPr>
      <w:r w:rsidRPr="00BA1213">
        <w:t>In the case of inquiries for services from persons residing in other states, no application will be furnished or accepted by D</w:t>
      </w:r>
      <w:r w:rsidR="00A02C83">
        <w:t>BVI</w:t>
      </w:r>
      <w:r w:rsidRPr="00BA1213">
        <w:t xml:space="preserve"> until the person is in the state</w:t>
      </w:r>
      <w:r w:rsidR="00147BB3">
        <w:t xml:space="preserve">.  </w:t>
      </w:r>
      <w:r w:rsidRPr="00BA1213">
        <w:t xml:space="preserve">The person will normally be directed to the closest </w:t>
      </w:r>
      <w:r w:rsidR="00A02C83">
        <w:t>DBVI o</w:t>
      </w:r>
      <w:r w:rsidRPr="00BA1213">
        <w:t>ffice in the state from which s/he is inquiring</w:t>
      </w:r>
      <w:r w:rsidR="00147BB3">
        <w:t xml:space="preserve">.  </w:t>
      </w:r>
    </w:p>
    <w:p w14:paraId="3E1ED99D" w14:textId="05EB61BF" w:rsidR="000C12EA" w:rsidRPr="00BA1213" w:rsidRDefault="000C12EA" w:rsidP="006D255A">
      <w:pPr>
        <w:pStyle w:val="Quote"/>
        <w:numPr>
          <w:ilvl w:val="0"/>
          <w:numId w:val="10"/>
        </w:numPr>
      </w:pPr>
      <w:r w:rsidRPr="00BA1213">
        <w:t>Persons from neighboring states receiving treatment in Vermont facilities will be referred to their home state</w:t>
      </w:r>
      <w:r w:rsidR="00147BB3">
        <w:t xml:space="preserve">.  </w:t>
      </w:r>
      <w:r w:rsidRPr="00BA1213">
        <w:t>D</w:t>
      </w:r>
      <w:r w:rsidR="00A02C83">
        <w:t>BVI</w:t>
      </w:r>
      <w:r w:rsidRPr="00BA1213">
        <w:t xml:space="preserve"> may, at its discretion, assist in expediting the referral to the receiving state agency</w:t>
      </w:r>
      <w:r w:rsidR="00147BB3">
        <w:t xml:space="preserve">.  </w:t>
      </w:r>
    </w:p>
    <w:p w14:paraId="408F40E4" w14:textId="3B0935C3" w:rsidR="000C12EA" w:rsidRPr="00BA1213" w:rsidRDefault="000C12EA" w:rsidP="006D255A">
      <w:pPr>
        <w:pStyle w:val="Quote"/>
        <w:numPr>
          <w:ilvl w:val="0"/>
          <w:numId w:val="10"/>
        </w:numPr>
      </w:pPr>
      <w:r w:rsidRPr="00BA1213">
        <w:t xml:space="preserve">Occasionally a referred person lives close to the border in a neighboring </w:t>
      </w:r>
      <w:r w:rsidR="00CF77C1" w:rsidRPr="00BA1213">
        <w:t>state,</w:t>
      </w:r>
      <w:r w:rsidRPr="00BA1213">
        <w:t xml:space="preserve"> but the mailing address is through a Vermont post office</w:t>
      </w:r>
      <w:r w:rsidR="00147BB3">
        <w:t xml:space="preserve">.  </w:t>
      </w:r>
      <w:r w:rsidR="00553B19">
        <w:t>Regardless of</w:t>
      </w:r>
      <w:r w:rsidRPr="00BA1213">
        <w:t xml:space="preserve"> the mailing address, the person will normally be expected to be served by the agency of the state in which s/he resides</w:t>
      </w:r>
      <w:r w:rsidR="00147BB3">
        <w:t xml:space="preserve">.  </w:t>
      </w:r>
      <w:r w:rsidRPr="00BA1213">
        <w:t>An exception may be allowed if:</w:t>
      </w:r>
    </w:p>
    <w:p w14:paraId="52B93109" w14:textId="25340DA5" w:rsidR="000C12EA" w:rsidRPr="00BA1213" w:rsidRDefault="000C12EA" w:rsidP="006D255A">
      <w:pPr>
        <w:pStyle w:val="Quote"/>
        <w:numPr>
          <w:ilvl w:val="1"/>
          <w:numId w:val="10"/>
        </w:numPr>
      </w:pPr>
      <w:r w:rsidRPr="00BA1213">
        <w:t>The person’s employment is/was in Vermont, and s/he carries out the preponderance of his/her business here</w:t>
      </w:r>
      <w:r w:rsidR="00553B19">
        <w:t xml:space="preserve"> — </w:t>
      </w:r>
      <w:r w:rsidRPr="00BA1213">
        <w:t xml:space="preserve">for example, shopping and banking; and </w:t>
      </w:r>
    </w:p>
    <w:p w14:paraId="259B07AE" w14:textId="77777777" w:rsidR="000C12EA" w:rsidRPr="00BA1213" w:rsidRDefault="000C12EA" w:rsidP="006D255A">
      <w:pPr>
        <w:pStyle w:val="Quote"/>
        <w:numPr>
          <w:ilvl w:val="1"/>
          <w:numId w:val="10"/>
        </w:numPr>
      </w:pPr>
      <w:r w:rsidRPr="00BA1213">
        <w:t xml:space="preserve">Either s/he was injured at work so falls under Vermont’s Workers’ Compensation Act or his/her employer participates with DVR in an Employee Assistance </w:t>
      </w:r>
      <w:proofErr w:type="gramStart"/>
      <w:r w:rsidRPr="00BA1213">
        <w:t>Program;</w:t>
      </w:r>
      <w:proofErr w:type="gramEnd"/>
      <w:r w:rsidRPr="00BA1213">
        <w:t xml:space="preserve"> </w:t>
      </w:r>
    </w:p>
    <w:p w14:paraId="478256C8" w14:textId="41CB84B5" w:rsidR="000C12EA" w:rsidRPr="00BA1213" w:rsidRDefault="000C12EA" w:rsidP="006D255A">
      <w:pPr>
        <w:pStyle w:val="Quote"/>
        <w:numPr>
          <w:ilvl w:val="1"/>
          <w:numId w:val="10"/>
        </w:numPr>
      </w:pPr>
      <w:r w:rsidRPr="00BA1213">
        <w:lastRenderedPageBreak/>
        <w:t xml:space="preserve">Access to vocational rehabilitation counseling (e.g., frequency of contact with a </w:t>
      </w:r>
      <w:r w:rsidR="00553B19">
        <w:t>r</w:t>
      </w:r>
      <w:r w:rsidRPr="00BA1213">
        <w:t xml:space="preserve">ehabilitation </w:t>
      </w:r>
      <w:r w:rsidR="00553B19">
        <w:t>c</w:t>
      </w:r>
      <w:r w:rsidRPr="00BA1213">
        <w:t>ounselor and geographic distance from one) is more favorable to the referred person with Vermont D</w:t>
      </w:r>
      <w:r w:rsidR="000379F8">
        <w:t>BVI</w:t>
      </w:r>
      <w:r w:rsidRPr="00BA1213">
        <w:t xml:space="preserve"> than with the neighboring state’s rehabilitation agency</w:t>
      </w:r>
      <w:r w:rsidR="00147BB3">
        <w:t>.</w:t>
      </w:r>
      <w:r w:rsidRPr="00BA1213">
        <w:t xml:space="preserve"> </w:t>
      </w:r>
    </w:p>
    <w:p w14:paraId="5E79C0A0" w14:textId="77777777" w:rsidR="00BA1213" w:rsidRPr="00BA1213" w:rsidRDefault="00BA1213" w:rsidP="00BA1213">
      <w:pPr>
        <w:pStyle w:val="Quote"/>
        <w:rPr>
          <w:rFonts w:ascii="Franklin Gothic Demi" w:hAnsi="Franklin Gothic Demi"/>
          <w:iCs w:val="0"/>
          <w:color w:val="335B95"/>
        </w:rPr>
      </w:pPr>
      <w:r w:rsidRPr="006F4B06">
        <w:rPr>
          <w:rStyle w:val="Emphasis"/>
        </w:rPr>
        <w:t>End Guidance.</w:t>
      </w:r>
    </w:p>
    <w:p w14:paraId="7FDFA1E6" w14:textId="6851D912" w:rsidR="000C12EA" w:rsidRDefault="000C12EA" w:rsidP="00E85B28">
      <w:pPr>
        <w:pStyle w:val="BodyText"/>
        <w:numPr>
          <w:ilvl w:val="1"/>
          <w:numId w:val="46"/>
        </w:numPr>
      </w:pPr>
      <w:r w:rsidRPr="008B699B">
        <w:t xml:space="preserve">No applicant or group of applicants shall be excluded or found ineligible solely </w:t>
      </w:r>
      <w:r w:rsidR="00CF77C1" w:rsidRPr="008B699B">
        <w:t>based on</w:t>
      </w:r>
      <w:r w:rsidRPr="008B699B">
        <w:t xml:space="preserve"> the type of disability</w:t>
      </w:r>
      <w:r w:rsidR="00E85B28">
        <w:t>; and the eligibility requirements are applied without regard to the:</w:t>
      </w:r>
      <w:r w:rsidRPr="008B699B">
        <w:t xml:space="preserve"> </w:t>
      </w:r>
    </w:p>
    <w:p w14:paraId="4152E459" w14:textId="77777777" w:rsidR="00D50149" w:rsidRDefault="00D50149" w:rsidP="009E5CF4">
      <w:pPr>
        <w:pStyle w:val="ListParagraph"/>
        <w:numPr>
          <w:ilvl w:val="2"/>
          <w:numId w:val="46"/>
        </w:numPr>
      </w:pPr>
      <w:r>
        <w:t>Employment history</w:t>
      </w:r>
      <w:r w:rsidR="00E85B28">
        <w:t xml:space="preserve"> or current employment status of the </w:t>
      </w:r>
      <w:proofErr w:type="gramStart"/>
      <w:r w:rsidR="00E85B28">
        <w:t>applicant</w:t>
      </w:r>
      <w:r>
        <w:t>;</w:t>
      </w:r>
      <w:proofErr w:type="gramEnd"/>
    </w:p>
    <w:p w14:paraId="240F0479" w14:textId="77777777" w:rsidR="00D50149" w:rsidRDefault="00D50149" w:rsidP="009E5CF4">
      <w:pPr>
        <w:pStyle w:val="ListParagraph"/>
        <w:numPr>
          <w:ilvl w:val="2"/>
          <w:numId w:val="46"/>
        </w:numPr>
      </w:pPr>
      <w:r>
        <w:t>Expected employment outcome</w:t>
      </w:r>
      <w:r w:rsidR="00E85B28">
        <w:t xml:space="preserve"> of the </w:t>
      </w:r>
      <w:proofErr w:type="gramStart"/>
      <w:r w:rsidR="00E85B28">
        <w:t>applicant</w:t>
      </w:r>
      <w:r>
        <w:t>;</w:t>
      </w:r>
      <w:proofErr w:type="gramEnd"/>
    </w:p>
    <w:p w14:paraId="6F2B5D23" w14:textId="77777777" w:rsidR="00D50149" w:rsidRDefault="00D50149" w:rsidP="009E5CF4">
      <w:pPr>
        <w:pStyle w:val="ListParagraph"/>
        <w:numPr>
          <w:ilvl w:val="2"/>
          <w:numId w:val="46"/>
        </w:numPr>
      </w:pPr>
      <w:r>
        <w:t>Educational status or current educational credential</w:t>
      </w:r>
      <w:r w:rsidR="00E85B28">
        <w:t xml:space="preserve"> of the </w:t>
      </w:r>
      <w:proofErr w:type="gramStart"/>
      <w:r w:rsidR="00E85B28">
        <w:t>applicant</w:t>
      </w:r>
      <w:r>
        <w:t>;</w:t>
      </w:r>
      <w:proofErr w:type="gramEnd"/>
    </w:p>
    <w:p w14:paraId="6DA0F6FB" w14:textId="77777777" w:rsidR="00D50149" w:rsidRDefault="00D50149" w:rsidP="009E5CF4">
      <w:pPr>
        <w:pStyle w:val="ListParagraph"/>
        <w:numPr>
          <w:ilvl w:val="2"/>
          <w:numId w:val="46"/>
        </w:numPr>
      </w:pPr>
      <w:r>
        <w:t>Source of referral</w:t>
      </w:r>
      <w:r w:rsidR="00E85B28">
        <w:t xml:space="preserve"> for vocational rehabilitation services</w:t>
      </w:r>
      <w:r>
        <w:t>; or</w:t>
      </w:r>
      <w:r w:rsidR="00E85B28">
        <w:t xml:space="preserve">  </w:t>
      </w:r>
    </w:p>
    <w:p w14:paraId="532FF158" w14:textId="77777777" w:rsidR="00084088" w:rsidRPr="008B699B" w:rsidRDefault="00084088" w:rsidP="009E5CF4">
      <w:pPr>
        <w:pStyle w:val="ListParagraph"/>
        <w:numPr>
          <w:ilvl w:val="2"/>
          <w:numId w:val="46"/>
        </w:numPr>
      </w:pPr>
      <w:r>
        <w:t>Age, gender, race, color, creed, or national origin</w:t>
      </w:r>
      <w:r w:rsidR="00E85B28">
        <w:t xml:space="preserve"> of the applicant</w:t>
      </w:r>
      <w:r w:rsidR="00D50149">
        <w:t>.</w:t>
      </w:r>
    </w:p>
    <w:p w14:paraId="581D7720" w14:textId="46A03570" w:rsidR="000C12EA" w:rsidRPr="008E5279" w:rsidRDefault="00846928" w:rsidP="008E5279">
      <w:pPr>
        <w:pStyle w:val="Heading3"/>
      </w:pPr>
      <w:bookmarkStart w:id="5" w:name="_Toc31893979"/>
      <w:r w:rsidRPr="008E5279">
        <w:t>Guidance — Age exception.</w:t>
      </w:r>
      <w:bookmarkEnd w:id="5"/>
    </w:p>
    <w:p w14:paraId="7D6FEB40" w14:textId="54D6496D" w:rsidR="000C12EA" w:rsidRDefault="000C12EA" w:rsidP="00BA1213">
      <w:pPr>
        <w:pStyle w:val="Quote"/>
      </w:pPr>
      <w:r>
        <w:t>D</w:t>
      </w:r>
      <w:r w:rsidR="000379F8">
        <w:t>BVI</w:t>
      </w:r>
      <w:r>
        <w:t xml:space="preserve"> will not normally serve persons under age 18 without permission of the parent, guardian, or legal rep</w:t>
      </w:r>
      <w:r w:rsidR="00D1380D">
        <w:t xml:space="preserve">resentative (see </w:t>
      </w:r>
      <w:r w:rsidR="00743206">
        <w:t xml:space="preserve">Chapter </w:t>
      </w:r>
      <w:r w:rsidR="000379F8">
        <w:t>14</w:t>
      </w:r>
      <w:r w:rsidR="00743206">
        <w:t xml:space="preserve">, </w:t>
      </w:r>
      <w:r w:rsidR="00166C77">
        <w:t>“</w:t>
      </w:r>
      <w:r>
        <w:t>Transition</w:t>
      </w:r>
      <w:r w:rsidR="000379F8">
        <w:t xml:space="preserve"> Services</w:t>
      </w:r>
      <w:r w:rsidR="00166C77">
        <w:t>”</w:t>
      </w:r>
      <w:r>
        <w:t xml:space="preserve"> for more information)</w:t>
      </w:r>
      <w:r w:rsidR="00147BB3">
        <w:t xml:space="preserve">.  </w:t>
      </w:r>
    </w:p>
    <w:p w14:paraId="49A0F447" w14:textId="77777777" w:rsidR="00BA1213" w:rsidRPr="00901446" w:rsidRDefault="00BA1213" w:rsidP="00BA1213">
      <w:pPr>
        <w:pStyle w:val="Quote"/>
        <w:rPr>
          <w:rFonts w:ascii="Franklin Gothic Demi" w:hAnsi="Franklin Gothic Demi"/>
          <w:i w:val="0"/>
          <w:iCs w:val="0"/>
          <w:color w:val="335B95"/>
        </w:rPr>
      </w:pPr>
      <w:r w:rsidRPr="00583BF4">
        <w:rPr>
          <w:rStyle w:val="Emphasis"/>
        </w:rPr>
        <w:t>End Guidance</w:t>
      </w:r>
      <w:r w:rsidRPr="006F4B06">
        <w:rPr>
          <w:rStyle w:val="Emphasis"/>
        </w:rPr>
        <w:t>.</w:t>
      </w:r>
    </w:p>
    <w:p w14:paraId="3EC835B7" w14:textId="0070D952" w:rsidR="000C12EA" w:rsidRPr="008B699B" w:rsidRDefault="000C12EA" w:rsidP="00866E1D">
      <w:pPr>
        <w:pStyle w:val="BodyText"/>
        <w:numPr>
          <w:ilvl w:val="1"/>
          <w:numId w:val="46"/>
        </w:numPr>
      </w:pPr>
      <w:r w:rsidRPr="008B699B">
        <w:t xml:space="preserve">Eligibility requirements shall be applied without regard to the </w:t>
      </w:r>
      <w:r w:rsidR="00CF77C1" w:rsidRPr="008B699B">
        <w:t>service</w:t>
      </w:r>
      <w:r w:rsidRPr="008B699B">
        <w:t xml:space="preserve"> needs or anticipated cost of services required by an applicant or applicant's family</w:t>
      </w:r>
      <w:r w:rsidR="00147BB3">
        <w:t xml:space="preserve">.  </w:t>
      </w:r>
    </w:p>
    <w:p w14:paraId="1164B6DF" w14:textId="7DC6214A" w:rsidR="00224852" w:rsidRDefault="000C12EA" w:rsidP="00866E1D">
      <w:pPr>
        <w:pStyle w:val="Heading1"/>
        <w:numPr>
          <w:ilvl w:val="0"/>
          <w:numId w:val="46"/>
        </w:numPr>
      </w:pPr>
      <w:bookmarkStart w:id="6" w:name="_Toc31893980"/>
      <w:r w:rsidRPr="00F67ACB">
        <w:t>Basic Conditions of Eligibility</w:t>
      </w:r>
      <w:bookmarkEnd w:id="6"/>
      <w:r w:rsidRPr="00F67ACB">
        <w:t xml:space="preserve"> </w:t>
      </w:r>
    </w:p>
    <w:p w14:paraId="5FC84075" w14:textId="4EED6405" w:rsidR="003A58E4" w:rsidRPr="00583BF4" w:rsidRDefault="003A58E4" w:rsidP="003A58E4">
      <w:pPr>
        <w:pStyle w:val="Heading2"/>
      </w:pPr>
      <w:bookmarkStart w:id="7" w:name="_Toc31893981"/>
      <w:r w:rsidRPr="00583BF4">
        <w:t>Requirements for Eligibility</w:t>
      </w:r>
      <w:bookmarkEnd w:id="7"/>
    </w:p>
    <w:p w14:paraId="205DB23B" w14:textId="38828CA3" w:rsidR="000C12EA" w:rsidRPr="00030204" w:rsidRDefault="000C12EA" w:rsidP="006D255A">
      <w:pPr>
        <w:pStyle w:val="BodyText"/>
        <w:numPr>
          <w:ilvl w:val="1"/>
          <w:numId w:val="19"/>
        </w:numPr>
      </w:pPr>
      <w:r w:rsidRPr="00030204">
        <w:t xml:space="preserve">An applicant’s eligibility for vocational rehabilitation services shall be based on </w:t>
      </w:r>
      <w:r w:rsidR="00CF77C1" w:rsidRPr="00030204">
        <w:t>all</w:t>
      </w:r>
      <w:r w:rsidRPr="00030204">
        <w:t xml:space="preserve"> the following requirements: </w:t>
      </w:r>
    </w:p>
    <w:p w14:paraId="0A2BACCB" w14:textId="6072B60C" w:rsidR="000C12EA" w:rsidRPr="00030204" w:rsidRDefault="00DF5791" w:rsidP="00FA7CA6">
      <w:pPr>
        <w:pStyle w:val="ListParagraph"/>
        <w:numPr>
          <w:ilvl w:val="2"/>
          <w:numId w:val="19"/>
        </w:numPr>
      </w:pPr>
      <w:r w:rsidRPr="00030204">
        <w:t>T</w:t>
      </w:r>
      <w:r w:rsidR="000C12EA" w:rsidRPr="00030204">
        <w:t xml:space="preserve">he applicant must be an individual </w:t>
      </w:r>
      <w:r w:rsidR="006C2FF4">
        <w:t>that is blind or has a visual impairment as a primary disability which results in a substa</w:t>
      </w:r>
      <w:r w:rsidR="002A0D33">
        <w:t xml:space="preserve">ntial </w:t>
      </w:r>
      <w:r w:rsidR="000C12EA" w:rsidRPr="00030204">
        <w:t>impediment t</w:t>
      </w:r>
      <w:r w:rsidR="002A0D33">
        <w:t xml:space="preserve">o employment for the </w:t>
      </w:r>
      <w:proofErr w:type="gramStart"/>
      <w:r w:rsidR="002A0D33">
        <w:t>applicant</w:t>
      </w:r>
      <w:r w:rsidR="0007606A">
        <w:t>;</w:t>
      </w:r>
      <w:proofErr w:type="gramEnd"/>
      <w:r w:rsidR="0007606A">
        <w:t xml:space="preserve"> </w:t>
      </w:r>
    </w:p>
    <w:p w14:paraId="4890924E" w14:textId="7EA77278" w:rsidR="000C12EA" w:rsidRDefault="000C12EA" w:rsidP="00FA7CA6">
      <w:pPr>
        <w:pStyle w:val="ListParagraph"/>
        <w:numPr>
          <w:ilvl w:val="2"/>
          <w:numId w:val="19"/>
        </w:numPr>
      </w:pPr>
      <w:r w:rsidRPr="00030204">
        <w:t>The applicant must require vocational rehabilitation services to prepare for, secur</w:t>
      </w:r>
      <w:r w:rsidR="003A58E4">
        <w:t xml:space="preserve">e, retain, </w:t>
      </w:r>
      <w:r w:rsidR="00334D19">
        <w:t xml:space="preserve">advance in, </w:t>
      </w:r>
      <w:r w:rsidR="0007606A">
        <w:t>or regain employment; and</w:t>
      </w:r>
    </w:p>
    <w:p w14:paraId="3C712E49" w14:textId="3123E4B4" w:rsidR="004F32C1" w:rsidRDefault="004F32C1" w:rsidP="00FA7CA6">
      <w:pPr>
        <w:pStyle w:val="ListParagraph"/>
        <w:numPr>
          <w:ilvl w:val="2"/>
          <w:numId w:val="19"/>
        </w:numPr>
      </w:pPr>
      <w:r>
        <w:t xml:space="preserve">There is no entitlement to vocational rehabilitation services even if the applicant meets </w:t>
      </w:r>
      <w:r w:rsidR="00CF77C1">
        <w:t>all</w:t>
      </w:r>
      <w:r>
        <w:t xml:space="preserve"> the requirements for services</w:t>
      </w:r>
      <w:r w:rsidR="00147BB3">
        <w:t xml:space="preserve">.  </w:t>
      </w:r>
    </w:p>
    <w:p w14:paraId="6D499AC4" w14:textId="43CED721" w:rsidR="00DF5791" w:rsidRPr="008E5279" w:rsidRDefault="000C12EA" w:rsidP="008E5279">
      <w:pPr>
        <w:pStyle w:val="Heading3"/>
      </w:pPr>
      <w:bookmarkStart w:id="8" w:name="_Toc31893982"/>
      <w:r w:rsidRPr="008E5279">
        <w:rPr>
          <w:rStyle w:val="Heading3Char"/>
          <w:bCs/>
          <w:shd w:val="clear" w:color="auto" w:fill="auto"/>
        </w:rPr>
        <w:t>G</w:t>
      </w:r>
      <w:r w:rsidR="00846928" w:rsidRPr="008E5279">
        <w:t>uidance</w:t>
      </w:r>
      <w:r w:rsidR="002B019C" w:rsidRPr="008E5279">
        <w:t xml:space="preserve"> — Requirements for service</w:t>
      </w:r>
      <w:r w:rsidR="00147BB3">
        <w:t>.</w:t>
      </w:r>
      <w:bookmarkEnd w:id="8"/>
      <w:r w:rsidR="00147BB3">
        <w:t xml:space="preserve">  </w:t>
      </w:r>
    </w:p>
    <w:p w14:paraId="4DC683BC" w14:textId="3C9955D9" w:rsidR="003A58E4" w:rsidRDefault="003A58E4" w:rsidP="00DF5791">
      <w:pPr>
        <w:pStyle w:val="Quote"/>
      </w:pPr>
      <w:r w:rsidRPr="003A58E4">
        <w:t xml:space="preserve">A person who is an "individual with a disability" may still be ineligible for services if s/he does not require services to obtain or retain an employment </w:t>
      </w:r>
      <w:r w:rsidR="00DA3A86">
        <w:t>outcome</w:t>
      </w:r>
      <w:r w:rsidR="00147BB3">
        <w:t xml:space="preserve">.  </w:t>
      </w:r>
      <w:r w:rsidRPr="003A58E4">
        <w:t xml:space="preserve">In this case a consumer has adequate supports, work experience, and skills to achieve their employment goals and there is no substantial </w:t>
      </w:r>
      <w:r w:rsidRPr="003A58E4">
        <w:lastRenderedPageBreak/>
        <w:t xml:space="preserve">impediment to </w:t>
      </w:r>
      <w:r w:rsidR="00147BB3" w:rsidRPr="003A58E4">
        <w:t>employment,</w:t>
      </w:r>
      <w:r w:rsidRPr="003A58E4">
        <w:t xml:space="preserve"> and they do not require services to obtain, maintain or regain employment.</w:t>
      </w:r>
    </w:p>
    <w:p w14:paraId="53B89A10" w14:textId="77777777" w:rsidR="00DF5791" w:rsidRPr="00DF5791" w:rsidRDefault="00DF5791" w:rsidP="00DF5791">
      <w:pPr>
        <w:pStyle w:val="Quote"/>
        <w:rPr>
          <w:rFonts w:ascii="Franklin Gothic Demi" w:hAnsi="Franklin Gothic Demi"/>
          <w:iCs w:val="0"/>
          <w:color w:val="335B95"/>
        </w:rPr>
      </w:pPr>
      <w:r w:rsidRPr="006F4B06">
        <w:rPr>
          <w:rStyle w:val="Emphasis"/>
        </w:rPr>
        <w:t>End Guidance.</w:t>
      </w:r>
    </w:p>
    <w:p w14:paraId="6BFB3EB0" w14:textId="76E1F7EB" w:rsidR="00637208" w:rsidRPr="00583BF4" w:rsidRDefault="00637208" w:rsidP="00637208">
      <w:pPr>
        <w:pStyle w:val="Heading2"/>
      </w:pPr>
      <w:bookmarkStart w:id="9" w:name="_Toc31893983"/>
      <w:r w:rsidRPr="00583BF4">
        <w:t xml:space="preserve">Ability to Benefit from </w:t>
      </w:r>
      <w:r w:rsidR="000379F8" w:rsidRPr="00583BF4">
        <w:t>DBVI</w:t>
      </w:r>
      <w:r w:rsidRPr="00583BF4">
        <w:t xml:space="preserve"> Services</w:t>
      </w:r>
      <w:r w:rsidR="004C4B1F" w:rsidRPr="00583BF4">
        <w:t xml:space="preserve"> and Trial Work </w:t>
      </w:r>
      <w:r w:rsidR="000379F8" w:rsidRPr="00583BF4">
        <w:t>E</w:t>
      </w:r>
      <w:r w:rsidR="004C4B1F" w:rsidRPr="00583BF4">
        <w:t>xperiences</w:t>
      </w:r>
      <w:bookmarkEnd w:id="9"/>
    </w:p>
    <w:p w14:paraId="20A0CED7" w14:textId="2EF30C66" w:rsidR="000C12EA" w:rsidRPr="00333498" w:rsidRDefault="000C12EA" w:rsidP="006D255A">
      <w:pPr>
        <w:pStyle w:val="BodyText"/>
        <w:numPr>
          <w:ilvl w:val="1"/>
          <w:numId w:val="19"/>
        </w:numPr>
      </w:pPr>
      <w:r w:rsidRPr="00333498">
        <w:t>It shall be presumed that a person can benefit from vocational rehabilitation services unless clear and convincing evidence demonstrates that the person is incapable of benefiting from such services in terms of an employment outcome and be successful without long-term supports</w:t>
      </w:r>
      <w:r w:rsidR="00147BB3">
        <w:t xml:space="preserve">.  </w:t>
      </w:r>
      <w:r w:rsidRPr="00333498">
        <w:t>This does not change the requirement that an applicant must require vocational rehabilitation services</w:t>
      </w:r>
      <w:r w:rsidR="00147BB3">
        <w:t xml:space="preserve">.  </w:t>
      </w:r>
      <w:r w:rsidRPr="00333498">
        <w:t xml:space="preserve">Before making an ineligibility determination due to the significant nature of the disability, the Division </w:t>
      </w:r>
      <w:r w:rsidR="001D3301" w:rsidRPr="00DA3A86">
        <w:t>must</w:t>
      </w:r>
      <w:r w:rsidRPr="00333498">
        <w:t xml:space="preserve"> first explore the person’s abilities, capabilities, and capacity to perform in work situations </w:t>
      </w:r>
      <w:r w:rsidR="00CF77C1" w:rsidRPr="00333498">
        <w:t>using</w:t>
      </w:r>
      <w:r w:rsidRPr="00333498">
        <w:t xml:space="preserve"> trial work experiences with appropriate supports</w:t>
      </w:r>
      <w:r w:rsidR="00147BB3">
        <w:t xml:space="preserve">.  </w:t>
      </w:r>
      <w:r w:rsidR="00E60676">
        <w:t xml:space="preserve">The Division must develop a written plan to </w:t>
      </w:r>
      <w:r w:rsidR="00DA3A86">
        <w:t xml:space="preserve">periodically </w:t>
      </w:r>
      <w:r w:rsidR="00E60676">
        <w:t>assess the individual</w:t>
      </w:r>
      <w:r w:rsidR="00DA3A86">
        <w:t>’</w:t>
      </w:r>
      <w:r w:rsidR="00E60676">
        <w:t xml:space="preserve">s abilities, </w:t>
      </w:r>
      <w:proofErr w:type="gramStart"/>
      <w:r w:rsidR="00E60676">
        <w:t>capabilities</w:t>
      </w:r>
      <w:proofErr w:type="gramEnd"/>
      <w:r w:rsidR="00E60676">
        <w:t xml:space="preserve"> and capacity to perform in competitive integrated work situations </w:t>
      </w:r>
      <w:r w:rsidR="00CF77C1">
        <w:t>using</w:t>
      </w:r>
      <w:r w:rsidR="00E60676">
        <w:t xml:space="preserve"> trial work experiences</w:t>
      </w:r>
      <w:r w:rsidR="00147BB3">
        <w:t xml:space="preserve">.  </w:t>
      </w:r>
      <w:r w:rsidRPr="00333498">
        <w:t>Such experiences shall be of sufficient variety and over a sufficient period of time to determine the eligibility of the person or to determine the existence of clear and convincing evidence that the person is indeed incapable of benefiting in terms of an employment outcome</w:t>
      </w:r>
      <w:r w:rsidR="00147BB3">
        <w:t xml:space="preserve">.  </w:t>
      </w:r>
    </w:p>
    <w:p w14:paraId="29630A55" w14:textId="599387C9" w:rsidR="000C12EA" w:rsidRPr="00333498" w:rsidRDefault="000C12EA" w:rsidP="003F52EB">
      <w:pPr>
        <w:pStyle w:val="BodyText"/>
        <w:numPr>
          <w:ilvl w:val="2"/>
          <w:numId w:val="19"/>
        </w:numPr>
      </w:pPr>
      <w:r w:rsidRPr="00333498">
        <w:t>"Clear and convincing evidence" means the Division shall have a high degree of certainty before it can conclude that a person is incapable of benefiting from services in terms of an employment outcome</w:t>
      </w:r>
      <w:r w:rsidR="00147BB3">
        <w:t xml:space="preserve">.  </w:t>
      </w:r>
      <w:r w:rsidRPr="00333498">
        <w:t>The "clear and convincing" standard constitutes the highest standard used in our civil system of law and is to be applied on a case-by-case basis</w:t>
      </w:r>
      <w:r w:rsidR="00147BB3">
        <w:t xml:space="preserve">.  </w:t>
      </w:r>
      <w:r w:rsidRPr="00333498">
        <w:t>The term "clear" means unequivocal</w:t>
      </w:r>
      <w:r w:rsidR="00147BB3">
        <w:t xml:space="preserve">.  </w:t>
      </w:r>
      <w:r w:rsidRPr="0076451B">
        <w:t xml:space="preserve">Clear and convincing evidence </w:t>
      </w:r>
      <w:r w:rsidR="005B389F" w:rsidRPr="0076451B">
        <w:t xml:space="preserve">must </w:t>
      </w:r>
      <w:r w:rsidR="004033E8" w:rsidRPr="0076451B">
        <w:t>be based on a functional assessment of the individual’s ability to benefit from vocational r</w:t>
      </w:r>
      <w:r w:rsidR="0076451B" w:rsidRPr="0076451B">
        <w:t>ehabilitation services through</w:t>
      </w:r>
      <w:r w:rsidR="004033E8" w:rsidRPr="0076451B">
        <w:t xml:space="preserve"> realistic employment setting</w:t>
      </w:r>
      <w:r w:rsidR="00334D19" w:rsidRPr="0076451B">
        <w:t>s</w:t>
      </w:r>
      <w:r w:rsidR="00147BB3">
        <w:t xml:space="preserve">.  </w:t>
      </w:r>
    </w:p>
    <w:p w14:paraId="57902C6E" w14:textId="33AEAE61" w:rsidR="000C12EA" w:rsidRPr="00333498" w:rsidRDefault="000C12EA" w:rsidP="003A58E4">
      <w:pPr>
        <w:pStyle w:val="BodyText"/>
        <w:numPr>
          <w:ilvl w:val="1"/>
          <w:numId w:val="19"/>
        </w:numPr>
      </w:pPr>
      <w:r w:rsidRPr="00333498">
        <w:t>Although there is no time limit for this determination, the Division feels that such an exploration should be able to be completed within 180 days of the end of the usual 60</w:t>
      </w:r>
      <w:r w:rsidR="000A4A4B">
        <w:t>-</w:t>
      </w:r>
      <w:r w:rsidRPr="00333498">
        <w:t>day limit for eligibility</w:t>
      </w:r>
      <w:r w:rsidR="00005A9F">
        <w:t xml:space="preserve"> </w:t>
      </w:r>
      <w:r w:rsidRPr="00333498">
        <w:t>—</w:t>
      </w:r>
      <w:r w:rsidR="00005A9F">
        <w:t xml:space="preserve"> </w:t>
      </w:r>
      <w:r w:rsidRPr="00333498">
        <w:t>in other words</w:t>
      </w:r>
      <w:r w:rsidR="00005A9F">
        <w:t>,</w:t>
      </w:r>
      <w:r w:rsidRPr="00333498">
        <w:t xml:space="preserve"> within 240 days from the date of applicatio</w:t>
      </w:r>
      <w:r w:rsidR="003F52EB">
        <w:t>n</w:t>
      </w:r>
      <w:r w:rsidR="00147BB3">
        <w:t xml:space="preserve">.  </w:t>
      </w:r>
      <w:r w:rsidR="003F52EB">
        <w:t>However</w:t>
      </w:r>
      <w:r w:rsidR="00005A9F">
        <w:t>,</w:t>
      </w:r>
      <w:r w:rsidRPr="00333498">
        <w:t xml:space="preserve"> more time may be used if needed</w:t>
      </w:r>
      <w:r w:rsidR="00147BB3">
        <w:t xml:space="preserve">.  </w:t>
      </w:r>
      <w:r w:rsidRPr="00333498">
        <w:t>It is suggested that local job developers and supported employment programs, if appropriate, be used to locate suitable work settings</w:t>
      </w:r>
      <w:r w:rsidR="00147BB3">
        <w:t xml:space="preserve">.  </w:t>
      </w:r>
    </w:p>
    <w:p w14:paraId="510551B9" w14:textId="5FC4B7C8" w:rsidR="000C12EA" w:rsidRPr="00333498" w:rsidRDefault="000C12EA" w:rsidP="003A58E4">
      <w:pPr>
        <w:pStyle w:val="BodyText"/>
        <w:numPr>
          <w:ilvl w:val="1"/>
          <w:numId w:val="19"/>
        </w:numPr>
      </w:pPr>
      <w:r w:rsidRPr="00333498">
        <w:t>The case record must contain the rationale for believing the person may not be able to benefit in terms of an employment outcome, the need for more than the usual 60 days, and how, using work settings, the determination of eligibility may be made</w:t>
      </w:r>
      <w:r w:rsidR="00147BB3">
        <w:t xml:space="preserve">.  </w:t>
      </w:r>
    </w:p>
    <w:p w14:paraId="541D1746" w14:textId="4F149D02" w:rsidR="000C12EA" w:rsidRPr="00333498" w:rsidRDefault="000C12EA" w:rsidP="003A58E4">
      <w:pPr>
        <w:pStyle w:val="BodyText"/>
        <w:numPr>
          <w:ilvl w:val="1"/>
          <w:numId w:val="19"/>
        </w:numPr>
      </w:pPr>
      <w:r w:rsidRPr="00333498">
        <w:t>If the trial work experience (TWE) necessitates going past th</w:t>
      </w:r>
      <w:r w:rsidR="00B92EE2">
        <w:t xml:space="preserve">e 60-day limit from application </w:t>
      </w:r>
      <w:r w:rsidRPr="00333498">
        <w:t>to certification</w:t>
      </w:r>
      <w:r w:rsidR="000379F8">
        <w:t>, n</w:t>
      </w:r>
      <w:r w:rsidRPr="00333498">
        <w:t xml:space="preserve">o formal individualized plan must be signed by the person; however, the </w:t>
      </w:r>
      <w:r w:rsidR="00685DE7">
        <w:t>counselor</w:t>
      </w:r>
      <w:r w:rsidRPr="00333498">
        <w:t xml:space="preserve"> must develop a written plan noting questions or con</w:t>
      </w:r>
      <w:r w:rsidR="0076451B">
        <w:t xml:space="preserve">cerns </w:t>
      </w:r>
      <w:r w:rsidRPr="00333498">
        <w:t>to be resolved during TWE and evaluating information received on each site against the stated needs</w:t>
      </w:r>
      <w:r w:rsidR="00147BB3">
        <w:t xml:space="preserve">.  </w:t>
      </w:r>
    </w:p>
    <w:p w14:paraId="7B12B5F0" w14:textId="7F47D974" w:rsidR="000C12EA" w:rsidRDefault="000C12EA" w:rsidP="003A58E4">
      <w:pPr>
        <w:pStyle w:val="BodyText"/>
        <w:numPr>
          <w:ilvl w:val="1"/>
          <w:numId w:val="19"/>
        </w:numPr>
      </w:pPr>
      <w:r w:rsidRPr="00333498">
        <w:lastRenderedPageBreak/>
        <w:t xml:space="preserve">In any instance when a counselor is considering utilizing </w:t>
      </w:r>
      <w:r w:rsidR="000379F8">
        <w:t>a Trial Work Period</w:t>
      </w:r>
      <w:r w:rsidRPr="00FC2CB7">
        <w:t>,</w:t>
      </w:r>
      <w:r w:rsidRPr="00333498">
        <w:t xml:space="preserve"> they should consult with their </w:t>
      </w:r>
      <w:r w:rsidR="00F0376A">
        <w:t>S</w:t>
      </w:r>
      <w:r w:rsidRPr="00333498">
        <w:t xml:space="preserve">enior </w:t>
      </w:r>
      <w:r w:rsidR="00F0376A">
        <w:t>C</w:t>
      </w:r>
      <w:r w:rsidRPr="00333498">
        <w:t xml:space="preserve">ounselor and/or </w:t>
      </w:r>
      <w:r w:rsidR="000379F8">
        <w:t>Director</w:t>
      </w:r>
      <w:r w:rsidRPr="00333498">
        <w:t xml:space="preserve"> for guidance around this decision and resulting processes</w:t>
      </w:r>
      <w:r w:rsidR="00147BB3">
        <w:t xml:space="preserve">.  </w:t>
      </w:r>
      <w:r w:rsidRPr="00333498">
        <w:t>Th</w:t>
      </w:r>
      <w:r w:rsidR="000379F8">
        <w:t>e Trial Work Period</w:t>
      </w:r>
      <w:r w:rsidRPr="00333498">
        <w:t xml:space="preserve"> may be used when working with a consumer who has been consistently unsuccessful in multiple prior employment efforts with </w:t>
      </w:r>
      <w:r w:rsidR="000379F8">
        <w:t>DBVI</w:t>
      </w:r>
      <w:r w:rsidR="00147BB3">
        <w:t xml:space="preserve">.  </w:t>
      </w:r>
      <w:r w:rsidRPr="00333498">
        <w:t xml:space="preserve">A trial work </w:t>
      </w:r>
      <w:r w:rsidR="00005A9F">
        <w:t>experience</w:t>
      </w:r>
      <w:r w:rsidRPr="00333498">
        <w:t xml:space="preserve"> will help demonstrate what has or has not changed in their situation</w:t>
      </w:r>
      <w:r w:rsidR="00147BB3">
        <w:t xml:space="preserve">.  </w:t>
      </w:r>
      <w:r w:rsidR="00685DE7">
        <w:t>In other cases</w:t>
      </w:r>
      <w:r w:rsidR="000A4A4B">
        <w:t>,</w:t>
      </w:r>
      <w:r w:rsidR="00685DE7">
        <w:t xml:space="preserve"> a c</w:t>
      </w:r>
      <w:r w:rsidRPr="00333498">
        <w:t xml:space="preserve">ounselor may choose not to advance a medically eligible consumer to </w:t>
      </w:r>
      <w:r w:rsidR="00B90392">
        <w:t xml:space="preserve">an eligible </w:t>
      </w:r>
      <w:r w:rsidRPr="00333498">
        <w:t>and use assessments similar to the trial work experience as a means of empowering the consumer and providing them an opportunity to determine their own ability to move into a</w:t>
      </w:r>
      <w:r w:rsidR="004D0E60">
        <w:t>n</w:t>
      </w:r>
      <w:r w:rsidRPr="00333498">
        <w:t xml:space="preserve"> Individualized Plan for Employment</w:t>
      </w:r>
      <w:r w:rsidR="00147BB3">
        <w:t xml:space="preserve">.  </w:t>
      </w:r>
    </w:p>
    <w:p w14:paraId="17DAAC67" w14:textId="6FA87D5E" w:rsidR="003A58E4" w:rsidRPr="00333498" w:rsidRDefault="003A58E4" w:rsidP="003A58E4">
      <w:pPr>
        <w:pStyle w:val="Heading2"/>
      </w:pPr>
      <w:bookmarkStart w:id="10" w:name="_Toc31893984"/>
      <w:r w:rsidRPr="00583BF4">
        <w:t>Presumptive Eligibility for SSDI and SSI Recipients</w:t>
      </w:r>
      <w:bookmarkEnd w:id="10"/>
    </w:p>
    <w:p w14:paraId="36813F01" w14:textId="797E3297" w:rsidR="000C12EA" w:rsidRPr="00333498" w:rsidRDefault="000C12EA" w:rsidP="00DE3F70">
      <w:pPr>
        <w:pStyle w:val="BodyText"/>
        <w:numPr>
          <w:ilvl w:val="1"/>
          <w:numId w:val="19"/>
        </w:numPr>
      </w:pPr>
      <w:r w:rsidRPr="00333498">
        <w:t>A recipient of Social Security Disability Insurance (SSDI, aka Title II) or Supplemental Security Income (SSI, aka Title XVI)</w:t>
      </w:r>
      <w:r w:rsidR="00A34D59">
        <w:t xml:space="preserve"> due to a visual impairment</w:t>
      </w:r>
      <w:r w:rsidRPr="00333498">
        <w:t xml:space="preserve"> shall be considered to be a person with a significant disability and shall be presumed to be eligible for services</w:t>
      </w:r>
      <w:r w:rsidR="00147BB3">
        <w:t xml:space="preserve">.  </w:t>
      </w:r>
      <w:r w:rsidR="00677FF8">
        <w:t xml:space="preserve">Applying </w:t>
      </w:r>
      <w:r w:rsidR="00922DC6" w:rsidRPr="00333498">
        <w:t>for</w:t>
      </w:r>
      <w:r w:rsidR="00677FF8">
        <w:t xml:space="preserve"> DBVI</w:t>
      </w:r>
      <w:r w:rsidR="00922DC6" w:rsidRPr="00333498">
        <w:t xml:space="preserve"> services shall be considered as the person’s intent to achieve an employment outcome</w:t>
      </w:r>
      <w:r w:rsidR="00147BB3">
        <w:t xml:space="preserve">.  </w:t>
      </w:r>
      <w:r w:rsidR="00922DC6">
        <w:t>Trial work experiences</w:t>
      </w:r>
      <w:r w:rsidR="00922DC6" w:rsidRPr="00333498">
        <w:t xml:space="preserve"> cannot be used for </w:t>
      </w:r>
      <w:r w:rsidR="00922DC6">
        <w:t>an eligibility determination for individuals</w:t>
      </w:r>
      <w:r w:rsidR="00922DC6" w:rsidRPr="00333498">
        <w:t xml:space="preserve"> receiving SSI/SSDI benefits as they are automatically considered medically eligible by meeting presumptive eligibility.</w:t>
      </w:r>
    </w:p>
    <w:p w14:paraId="175AC981" w14:textId="77777777" w:rsidR="000C12EA" w:rsidRDefault="000C12EA" w:rsidP="006D255A">
      <w:pPr>
        <w:pStyle w:val="BodyText"/>
        <w:numPr>
          <w:ilvl w:val="1"/>
          <w:numId w:val="19"/>
        </w:numPr>
      </w:pPr>
      <w:r w:rsidRPr="00333498">
        <w:t>If a counselor can verify the receipt of SSA benefits via an award letter, copy of deposits from SSA, a Benefit Query or other forms, no additional medical information is needed to find the person eligible.</w:t>
      </w:r>
    </w:p>
    <w:p w14:paraId="10F11FED" w14:textId="2A7788A2" w:rsidR="003A58E4" w:rsidRPr="00583BF4" w:rsidRDefault="003A58E4" w:rsidP="003A58E4">
      <w:pPr>
        <w:pStyle w:val="Heading2"/>
      </w:pPr>
      <w:bookmarkStart w:id="11" w:name="_Toc31893985"/>
      <w:r w:rsidRPr="00583BF4">
        <w:t xml:space="preserve">Need for </w:t>
      </w:r>
      <w:r w:rsidR="00C1032E" w:rsidRPr="00583BF4">
        <w:t>F</w:t>
      </w:r>
      <w:r w:rsidRPr="00583BF4">
        <w:t xml:space="preserve">urther </w:t>
      </w:r>
      <w:r w:rsidR="00C1032E" w:rsidRPr="00583BF4">
        <w:t>M</w:t>
      </w:r>
      <w:r w:rsidRPr="00583BF4">
        <w:t xml:space="preserve">edical </w:t>
      </w:r>
      <w:r w:rsidR="00C1032E" w:rsidRPr="00583BF4">
        <w:t>D</w:t>
      </w:r>
      <w:r w:rsidRPr="00583BF4">
        <w:t>ocumentation</w:t>
      </w:r>
      <w:r w:rsidR="00141542" w:rsidRPr="00583BF4">
        <w:t xml:space="preserve"> or Functional Data</w:t>
      </w:r>
      <w:bookmarkEnd w:id="11"/>
    </w:p>
    <w:p w14:paraId="0D627435" w14:textId="5810AD73" w:rsidR="000C12EA" w:rsidRPr="00333498" w:rsidRDefault="000C12EA" w:rsidP="006D255A">
      <w:pPr>
        <w:pStyle w:val="BodyText"/>
        <w:numPr>
          <w:ilvl w:val="1"/>
          <w:numId w:val="19"/>
        </w:numPr>
      </w:pPr>
      <w:r w:rsidRPr="00333498">
        <w:t>From a counseling perspective, further medical documentation will almost always be needed to better understand strengths, limitations, accommodation needs and to develop a strong plan for employment</w:t>
      </w:r>
      <w:r w:rsidR="00147BB3">
        <w:t xml:space="preserve">.  </w:t>
      </w:r>
      <w:r w:rsidRPr="00333498">
        <w:t>In some cases, a counselor may not be able to proceed with development of an IPE if medical information is not obtained</w:t>
      </w:r>
      <w:r w:rsidR="00147BB3">
        <w:t xml:space="preserve">.  </w:t>
      </w:r>
    </w:p>
    <w:p w14:paraId="1510D612" w14:textId="74A1EDD3" w:rsidR="00A37ABA" w:rsidRDefault="000C12EA" w:rsidP="00000F6A">
      <w:pPr>
        <w:pStyle w:val="BodyText"/>
        <w:ind w:left="360"/>
      </w:pPr>
      <w:r w:rsidRPr="00000F6A">
        <w:rPr>
          <w:rStyle w:val="Emphasis"/>
        </w:rPr>
        <w:t xml:space="preserve">For </w:t>
      </w:r>
      <w:r w:rsidR="00C1032E">
        <w:rPr>
          <w:rStyle w:val="Emphasis"/>
        </w:rPr>
        <w:t>E</w:t>
      </w:r>
      <w:r w:rsidRPr="00000F6A">
        <w:rPr>
          <w:rStyle w:val="Emphasis"/>
        </w:rPr>
        <w:t>xample:</w:t>
      </w:r>
      <w:r w:rsidRPr="00333498">
        <w:t xml:space="preserve"> There are serious health consequences that could result from </w:t>
      </w:r>
      <w:r w:rsidR="00B90392">
        <w:t>DBVI</w:t>
      </w:r>
      <w:r w:rsidRPr="00333498">
        <w:t xml:space="preserve"> supporting a work goal that is unknowingly in direct opposition to medical recommendations</w:t>
      </w:r>
      <w:r w:rsidR="00147BB3">
        <w:t xml:space="preserve">.  </w:t>
      </w:r>
    </w:p>
    <w:p w14:paraId="5B75337D" w14:textId="0BCAE01F" w:rsidR="00FA4F7A" w:rsidRPr="00005A9F" w:rsidRDefault="00FA4F7A" w:rsidP="00005A9F">
      <w:pPr>
        <w:pStyle w:val="BodyText"/>
        <w:numPr>
          <w:ilvl w:val="1"/>
          <w:numId w:val="19"/>
        </w:numPr>
        <w:rPr>
          <w:rStyle w:val="Emphasis"/>
          <w:rFonts w:ascii="Franklin Gothic Book" w:hAnsi="Franklin Gothic Book"/>
          <w:color w:val="auto"/>
        </w:rPr>
      </w:pPr>
      <w:r w:rsidRPr="00005A9F">
        <w:rPr>
          <w:rStyle w:val="Emphasis"/>
          <w:rFonts w:ascii="Franklin Gothic Book" w:hAnsi="Franklin Gothic Book"/>
          <w:color w:val="auto"/>
        </w:rPr>
        <w:t xml:space="preserve">If </w:t>
      </w:r>
      <w:r w:rsidR="00E60676" w:rsidRPr="00005A9F">
        <w:rPr>
          <w:rStyle w:val="Emphasis"/>
          <w:rFonts w:ascii="Franklin Gothic Book" w:hAnsi="Franklin Gothic Book"/>
          <w:color w:val="auto"/>
        </w:rPr>
        <w:t>the counselor needs further functional assessment data to make an eligibility determination, they may use a Trial Work Experience</w:t>
      </w:r>
      <w:r w:rsidR="00147BB3">
        <w:rPr>
          <w:rStyle w:val="Emphasis"/>
          <w:rFonts w:ascii="Franklin Gothic Book" w:hAnsi="Franklin Gothic Book"/>
          <w:color w:val="auto"/>
        </w:rPr>
        <w:t xml:space="preserve">.  </w:t>
      </w:r>
    </w:p>
    <w:p w14:paraId="41F12896" w14:textId="5FD07FE0" w:rsidR="00224852" w:rsidRPr="003B5CC7" w:rsidRDefault="000C12EA" w:rsidP="003A58E4">
      <w:pPr>
        <w:pStyle w:val="Heading1"/>
        <w:numPr>
          <w:ilvl w:val="0"/>
          <w:numId w:val="19"/>
        </w:numPr>
      </w:pPr>
      <w:bookmarkStart w:id="12" w:name="_Toc31893986"/>
      <w:r w:rsidRPr="003B5CC7">
        <w:t>Using Existing Information</w:t>
      </w:r>
      <w:bookmarkEnd w:id="12"/>
      <w:r w:rsidRPr="003B5CC7">
        <w:t xml:space="preserve"> </w:t>
      </w:r>
    </w:p>
    <w:p w14:paraId="5BAED73C" w14:textId="353F6823" w:rsidR="000C12EA" w:rsidRPr="003B5CC7" w:rsidRDefault="000C12EA" w:rsidP="003A58E4">
      <w:pPr>
        <w:pStyle w:val="BodyText"/>
        <w:numPr>
          <w:ilvl w:val="1"/>
          <w:numId w:val="19"/>
        </w:numPr>
      </w:pPr>
      <w:r w:rsidRPr="003B5CC7">
        <w:t xml:space="preserve">Existing data, including </w:t>
      </w:r>
      <w:r w:rsidR="00685DE7">
        <w:t>counselor</w:t>
      </w:r>
      <w:r w:rsidRPr="003B5CC7">
        <w:t xml:space="preserve"> observation, shall be used whenever possible to expedite the determination of eligibility</w:t>
      </w:r>
      <w:r w:rsidR="00147BB3">
        <w:t xml:space="preserve">.  </w:t>
      </w:r>
      <w:r w:rsidRPr="003B5CC7">
        <w:t>Existing information may include medical and psychological records, education records, information provided by the person or with his/her family members, information used by the Social Security Administration, and determinations made by officials of other agencies involved with people with disabilities</w:t>
      </w:r>
      <w:r w:rsidR="00147BB3">
        <w:t xml:space="preserve">.  </w:t>
      </w:r>
    </w:p>
    <w:p w14:paraId="5D840358" w14:textId="58370959" w:rsidR="00B034DF" w:rsidRDefault="00B034DF" w:rsidP="00B034DF">
      <w:pPr>
        <w:pStyle w:val="Heading3"/>
      </w:pPr>
      <w:bookmarkStart w:id="13" w:name="_Toc31893987"/>
      <w:r>
        <w:lastRenderedPageBreak/>
        <w:t>Guidance — Examples of counselor observation</w:t>
      </w:r>
      <w:r w:rsidR="00147BB3">
        <w:t>.</w:t>
      </w:r>
      <w:bookmarkEnd w:id="13"/>
      <w:r w:rsidR="00147BB3">
        <w:t xml:space="preserve">  </w:t>
      </w:r>
    </w:p>
    <w:p w14:paraId="2C812C0C" w14:textId="77777777" w:rsidR="000C12EA" w:rsidRPr="003B5CC7" w:rsidRDefault="000C12EA" w:rsidP="00B034DF">
      <w:pPr>
        <w:pStyle w:val="Quote"/>
      </w:pPr>
      <w:r w:rsidRPr="003B5CC7">
        <w:t xml:space="preserve">Examples of </w:t>
      </w:r>
      <w:r w:rsidR="00685DE7">
        <w:t>counselor</w:t>
      </w:r>
      <w:r w:rsidRPr="003B5CC7">
        <w:t xml:space="preserve"> observation might include: </w:t>
      </w:r>
    </w:p>
    <w:p w14:paraId="7283A378" w14:textId="03191712" w:rsidR="000C12EA" w:rsidRPr="003B5CC7" w:rsidRDefault="000C12EA" w:rsidP="00B034DF">
      <w:pPr>
        <w:pStyle w:val="Quote"/>
        <w:numPr>
          <w:ilvl w:val="0"/>
          <w:numId w:val="38"/>
        </w:numPr>
      </w:pPr>
      <w:r w:rsidRPr="003B5CC7">
        <w:t xml:space="preserve">An applicant who is clearly </w:t>
      </w:r>
      <w:r w:rsidR="00E02D5A">
        <w:t xml:space="preserve">blind </w:t>
      </w:r>
      <w:r w:rsidRPr="003B5CC7">
        <w:t>and uses a</w:t>
      </w:r>
      <w:r w:rsidR="00E02D5A">
        <w:t xml:space="preserve"> white cane for mobility</w:t>
      </w:r>
      <w:r w:rsidR="00005A9F">
        <w:t>.</w:t>
      </w:r>
    </w:p>
    <w:p w14:paraId="3F232E00" w14:textId="77071750" w:rsidR="000C12EA" w:rsidRDefault="000C12EA" w:rsidP="00B034DF">
      <w:pPr>
        <w:pStyle w:val="Quote"/>
        <w:numPr>
          <w:ilvl w:val="0"/>
          <w:numId w:val="38"/>
        </w:numPr>
      </w:pPr>
      <w:r w:rsidRPr="003B5CC7">
        <w:t>An applicant who presents with a significant and observable physical disability</w:t>
      </w:r>
      <w:r w:rsidR="00147BB3">
        <w:t xml:space="preserve">.  </w:t>
      </w:r>
    </w:p>
    <w:p w14:paraId="43A89622" w14:textId="505E9B63" w:rsidR="00B034DF" w:rsidRPr="003B5CC7" w:rsidRDefault="00B034DF" w:rsidP="00B034DF">
      <w:pPr>
        <w:pStyle w:val="Heading3"/>
      </w:pPr>
      <w:bookmarkStart w:id="14" w:name="_Toc31893988"/>
      <w:r>
        <w:t xml:space="preserve">Guidance — </w:t>
      </w:r>
      <w:r w:rsidR="00722E3B">
        <w:t>H</w:t>
      </w:r>
      <w:r>
        <w:t>ow to solicit and interpret existing information.</w:t>
      </w:r>
      <w:bookmarkEnd w:id="14"/>
    </w:p>
    <w:p w14:paraId="359471EA" w14:textId="3EB55487" w:rsidR="000C12EA" w:rsidRPr="003B5CC7" w:rsidRDefault="000C12EA" w:rsidP="00B034DF">
      <w:pPr>
        <w:pStyle w:val="Quote"/>
      </w:pPr>
      <w:r w:rsidRPr="003B5CC7">
        <w:t>Information furnished by the person or his/her family may be very useful in determining eligibility</w:t>
      </w:r>
      <w:r w:rsidR="00147BB3">
        <w:t xml:space="preserve">.  </w:t>
      </w:r>
      <w:r w:rsidRPr="003B5CC7">
        <w:t>Such information need not be in writing but may be responses to pertinent questions such as:</w:t>
      </w:r>
      <w:r w:rsidR="0013296C" w:rsidRPr="003B5CC7">
        <w:t xml:space="preserve"> </w:t>
      </w:r>
      <w:r w:rsidRPr="003B5CC7">
        <w:t xml:space="preserve">"How does your disability affect your ability to work?" and "What types of services do you think you need to get past the disability and get to work?" Information furnished by the person also may include his/her physical presence and/or behaviors as observed by the </w:t>
      </w:r>
      <w:r w:rsidR="00685DE7">
        <w:t>counselor</w:t>
      </w:r>
      <w:r w:rsidR="00147BB3">
        <w:t xml:space="preserve">.  </w:t>
      </w:r>
    </w:p>
    <w:p w14:paraId="1AE2F680" w14:textId="5607A507" w:rsidR="000C12EA" w:rsidRPr="003B5CC7" w:rsidRDefault="000C12EA" w:rsidP="00B034DF">
      <w:pPr>
        <w:pStyle w:val="Quote"/>
      </w:pPr>
      <w:r w:rsidRPr="003B5CC7">
        <w:t xml:space="preserve">Certification of eligibility may be made immediately based on information furnished by the person or a family member if the </w:t>
      </w:r>
      <w:r w:rsidR="00685DE7">
        <w:t>counselor</w:t>
      </w:r>
      <w:r w:rsidRPr="003B5CC7">
        <w:t xml:space="preserve"> feels that a disability exists which is a substantial impediment to employment and that</w:t>
      </w:r>
      <w:r w:rsidR="00B034DF">
        <w:t xml:space="preserve"> </w:t>
      </w:r>
      <w:r w:rsidRPr="003B5CC7">
        <w:t>the person requires services for work</w:t>
      </w:r>
      <w:r w:rsidR="00147BB3">
        <w:t xml:space="preserve">.  </w:t>
      </w:r>
      <w:r w:rsidRPr="003B5CC7">
        <w:t xml:space="preserve">The </w:t>
      </w:r>
      <w:r w:rsidR="00685DE7">
        <w:t>counselor</w:t>
      </w:r>
      <w:r w:rsidRPr="003B5CC7">
        <w:t xml:space="preserve"> must then obtain medical information supporting the information used to certify the person as eligible for services</w:t>
      </w:r>
      <w:r w:rsidR="00147BB3">
        <w:t xml:space="preserve">.  </w:t>
      </w:r>
      <w:r w:rsidRPr="003B5CC7">
        <w:t xml:space="preserve">Additional information to develop a good plan of services may be gathered after eligibility has been determined if both the person seeking services and the </w:t>
      </w:r>
      <w:r w:rsidR="00685DE7">
        <w:t>counselor</w:t>
      </w:r>
      <w:r w:rsidRPr="003B5CC7">
        <w:t xml:space="preserve"> feel it may be helpful</w:t>
      </w:r>
      <w:r w:rsidR="00147BB3">
        <w:t xml:space="preserve">.  </w:t>
      </w:r>
    </w:p>
    <w:p w14:paraId="101753D6" w14:textId="3FA9EA5B" w:rsidR="000C12EA" w:rsidRPr="003B5CC7" w:rsidRDefault="000C12EA" w:rsidP="00B034DF">
      <w:pPr>
        <w:pStyle w:val="Quote"/>
      </w:pPr>
      <w:r w:rsidRPr="003B5CC7">
        <w:t>The rationale for using existing data is to streamline the eligibility process and to expedite access to services</w:t>
      </w:r>
      <w:r w:rsidR="00147BB3">
        <w:t xml:space="preserve">.  </w:t>
      </w:r>
      <w:r w:rsidRPr="003B5CC7">
        <w:t xml:space="preserve">Decisions regarding whether and how specific data are to be used must be made on </w:t>
      </w:r>
      <w:r w:rsidR="00005A9F">
        <w:t xml:space="preserve">a </w:t>
      </w:r>
      <w:r w:rsidRPr="003B5CC7">
        <w:t>case-by-case basis, and while the accuracy and timeliness of existing data are important factors in determining their usefulness, older data can be used if still pertinent</w:t>
      </w:r>
      <w:r w:rsidR="00147BB3">
        <w:t xml:space="preserve">.  </w:t>
      </w:r>
    </w:p>
    <w:p w14:paraId="69F7E938" w14:textId="1E9485C6" w:rsidR="000C12EA" w:rsidRDefault="000C12EA" w:rsidP="00B034DF">
      <w:pPr>
        <w:pStyle w:val="Quote"/>
      </w:pPr>
      <w:r w:rsidRPr="003B5CC7">
        <w:t>Information from sources other than education and Social Security officials may be used to expedite the eligibility determination process</w:t>
      </w:r>
      <w:r w:rsidR="00147BB3">
        <w:t xml:space="preserve">.  </w:t>
      </w:r>
      <w:r w:rsidRPr="003B5CC7">
        <w:t>Examples are the person's personal physician, a previous or current employer, an insurance company, an advocate or representative of the person, and any organization or individual suggested by the person seeking services</w:t>
      </w:r>
      <w:r w:rsidR="00147BB3">
        <w:t xml:space="preserve">.  </w:t>
      </w:r>
      <w:r w:rsidRPr="003B5CC7">
        <w:t>Other sources may include mental health and developmental disabilities agencies, Medicaid and Medicare agencies, Workers' Compensation, and other programs that require that a "disability" be established as a condition for receiving services</w:t>
      </w:r>
      <w:r w:rsidR="00147BB3">
        <w:t xml:space="preserve">.  </w:t>
      </w:r>
    </w:p>
    <w:p w14:paraId="66BAF730" w14:textId="77777777" w:rsidR="003A58E4" w:rsidRPr="003A58E4" w:rsidRDefault="003A58E4" w:rsidP="00B034DF">
      <w:pPr>
        <w:pStyle w:val="Quote"/>
        <w:rPr>
          <w:rStyle w:val="Emphasis"/>
        </w:rPr>
      </w:pPr>
      <w:r w:rsidRPr="003A58E4">
        <w:rPr>
          <w:rStyle w:val="Emphasis"/>
        </w:rPr>
        <w:t>End Guidance.</w:t>
      </w:r>
    </w:p>
    <w:p w14:paraId="2DA9D138" w14:textId="1B29299E" w:rsidR="007107C3" w:rsidRDefault="000C12EA" w:rsidP="003A58E4">
      <w:pPr>
        <w:pStyle w:val="BodyText"/>
        <w:numPr>
          <w:ilvl w:val="1"/>
          <w:numId w:val="19"/>
        </w:numPr>
      </w:pPr>
      <w:r w:rsidRPr="003B5CC7">
        <w:t xml:space="preserve">To the extent existing information does not describe the current functioning of the person or is unavailable, insufficient, or inappropriate to make an eligibility determination, the </w:t>
      </w:r>
      <w:r w:rsidR="00685DE7">
        <w:t>counselor</w:t>
      </w:r>
      <w:r w:rsidRPr="003B5CC7">
        <w:t xml:space="preserve"> will procure and assess whatever examinations, tests, assessments, etc</w:t>
      </w:r>
      <w:r w:rsidR="00147BB3">
        <w:t xml:space="preserve">.  </w:t>
      </w:r>
      <w:r w:rsidRPr="003B5CC7">
        <w:t>(including</w:t>
      </w:r>
      <w:r w:rsidR="001702DA">
        <w:t xml:space="preserve"> </w:t>
      </w:r>
      <w:r w:rsidRPr="003B5CC7">
        <w:t>assistive technology devices/services</w:t>
      </w:r>
      <w:r w:rsidR="00D66F59">
        <w:t>, trial work experiences</w:t>
      </w:r>
      <w:r w:rsidR="00005A9F">
        <w:t>,</w:t>
      </w:r>
      <w:r w:rsidR="00D66F59">
        <w:t xml:space="preserve"> personal assistance services</w:t>
      </w:r>
      <w:r w:rsidRPr="003B5CC7">
        <w:t xml:space="preserve"> and </w:t>
      </w:r>
      <w:r w:rsidR="00D66F59">
        <w:t xml:space="preserve">any </w:t>
      </w:r>
      <w:r w:rsidR="00C42475">
        <w:t>other support services</w:t>
      </w:r>
      <w:r w:rsidR="00005A9F">
        <w:t>)</w:t>
      </w:r>
      <w:r w:rsidR="00C42475">
        <w:t xml:space="preserve"> that are</w:t>
      </w:r>
      <w:r w:rsidRPr="003B5CC7">
        <w:t xml:space="preserve"> necessary to determine whether a person is eligible</w:t>
      </w:r>
      <w:r w:rsidR="00147BB3">
        <w:t xml:space="preserve">.  </w:t>
      </w:r>
    </w:p>
    <w:p w14:paraId="66CC1095" w14:textId="74ABD3C2" w:rsidR="000C12EA" w:rsidRPr="007107C3" w:rsidRDefault="00866E1D" w:rsidP="00C956FE">
      <w:pPr>
        <w:pStyle w:val="Heading1"/>
        <w:numPr>
          <w:ilvl w:val="0"/>
          <w:numId w:val="19"/>
        </w:numPr>
      </w:pPr>
      <w:bookmarkStart w:id="15" w:name="_Toc31893989"/>
      <w:r>
        <w:lastRenderedPageBreak/>
        <w:t xml:space="preserve">Factors </w:t>
      </w:r>
      <w:r w:rsidR="00C1032E">
        <w:t xml:space="preserve">and Decisions </w:t>
      </w:r>
      <w:r>
        <w:t>in Determining Eligibility</w:t>
      </w:r>
      <w:bookmarkEnd w:id="15"/>
    </w:p>
    <w:p w14:paraId="3DA509A8" w14:textId="2B07B660" w:rsidR="00BE6984" w:rsidRPr="00583BF4" w:rsidRDefault="000C12EA" w:rsidP="00C1032E">
      <w:pPr>
        <w:pStyle w:val="Heading2"/>
        <w:rPr>
          <w:rStyle w:val="Emphasis"/>
          <w:rFonts w:ascii="Franklin Gothic Medium" w:hAnsi="Franklin Gothic Medium"/>
          <w:iCs w:val="0"/>
        </w:rPr>
      </w:pPr>
      <w:bookmarkStart w:id="16" w:name="_Toc31893990"/>
      <w:r w:rsidRPr="00583BF4">
        <w:rPr>
          <w:rStyle w:val="Emphasis"/>
          <w:rFonts w:ascii="Franklin Gothic Medium" w:hAnsi="Franklin Gothic Medium"/>
          <w:iCs w:val="0"/>
        </w:rPr>
        <w:t>Determining Primary vs</w:t>
      </w:r>
      <w:r w:rsidR="00147BB3">
        <w:rPr>
          <w:rStyle w:val="Emphasis"/>
          <w:rFonts w:ascii="Franklin Gothic Medium" w:hAnsi="Franklin Gothic Medium"/>
          <w:iCs w:val="0"/>
        </w:rPr>
        <w:t xml:space="preserve">.  </w:t>
      </w:r>
      <w:r w:rsidRPr="00583BF4">
        <w:rPr>
          <w:rStyle w:val="Emphasis"/>
          <w:rFonts w:ascii="Franklin Gothic Medium" w:hAnsi="Franklin Gothic Medium"/>
          <w:iCs w:val="0"/>
        </w:rPr>
        <w:t>Secondary</w:t>
      </w:r>
      <w:r w:rsidR="00866E1D" w:rsidRPr="00583BF4">
        <w:rPr>
          <w:rStyle w:val="Emphasis"/>
          <w:rFonts w:ascii="Franklin Gothic Medium" w:hAnsi="Franklin Gothic Medium"/>
          <w:iCs w:val="0"/>
        </w:rPr>
        <w:t xml:space="preserve"> Disability</w:t>
      </w:r>
      <w:bookmarkEnd w:id="16"/>
    </w:p>
    <w:p w14:paraId="7F705096" w14:textId="6EC6B529" w:rsidR="000C12EA" w:rsidRPr="007107C3" w:rsidRDefault="000C12EA" w:rsidP="00C956FE">
      <w:pPr>
        <w:pStyle w:val="BodyText"/>
        <w:numPr>
          <w:ilvl w:val="1"/>
          <w:numId w:val="19"/>
        </w:numPr>
      </w:pPr>
      <w:r w:rsidRPr="007107C3">
        <w:t>The primary disability impedes function significantly and the secondary disability impedes function to a lesser degree</w:t>
      </w:r>
      <w:r w:rsidR="00147BB3">
        <w:t xml:space="preserve">.  </w:t>
      </w:r>
      <w:r w:rsidRPr="007107C3">
        <w:t>Function in this case is related to work tasks and work tolerance</w:t>
      </w:r>
      <w:r w:rsidR="00147BB3">
        <w:t xml:space="preserve">.  </w:t>
      </w:r>
      <w:r w:rsidRPr="007107C3">
        <w:t>This determination is often derived from the consumer’</w:t>
      </w:r>
      <w:r w:rsidR="00722E3B">
        <w:t>s</w:t>
      </w:r>
      <w:r w:rsidRPr="007107C3">
        <w:t xml:space="preserve"> stated experience, but in some cases the counselor may determine the primary disability based on intensity of related service need</w:t>
      </w:r>
      <w:r w:rsidR="00147BB3">
        <w:t xml:space="preserve">.  </w:t>
      </w:r>
    </w:p>
    <w:p w14:paraId="12D0938A" w14:textId="307B880C" w:rsidR="000C12EA" w:rsidRPr="008E5279" w:rsidRDefault="000C12EA" w:rsidP="008E5279">
      <w:pPr>
        <w:pStyle w:val="Heading3"/>
      </w:pPr>
      <w:bookmarkStart w:id="17" w:name="_Toc31893991"/>
      <w:r w:rsidRPr="008E5279">
        <w:t>G</w:t>
      </w:r>
      <w:r w:rsidR="00D3323A" w:rsidRPr="008E5279">
        <w:t>uidance — Need for primary and secondary disability determination.</w:t>
      </w:r>
      <w:bookmarkEnd w:id="17"/>
    </w:p>
    <w:p w14:paraId="66B8D126" w14:textId="77777777" w:rsidR="00743206" w:rsidRDefault="000C12EA" w:rsidP="00743206">
      <w:pPr>
        <w:pStyle w:val="Heading4"/>
      </w:pPr>
      <w:r>
        <w:t xml:space="preserve">Is a Secondary Disability required? </w:t>
      </w:r>
    </w:p>
    <w:p w14:paraId="5B3C8B99" w14:textId="7DB88666" w:rsidR="00743206" w:rsidRDefault="000C12EA" w:rsidP="00951B51">
      <w:pPr>
        <w:pStyle w:val="Quote"/>
      </w:pPr>
      <w:r>
        <w:t>No, the disabling conditions that impact the person’s ability to work should be reflected but there is no requirement to have two conditions listed</w:t>
      </w:r>
      <w:r w:rsidR="00147BB3">
        <w:t xml:space="preserve">.  </w:t>
      </w:r>
    </w:p>
    <w:p w14:paraId="3CC462E5" w14:textId="77777777" w:rsidR="00743206" w:rsidRDefault="000C12EA" w:rsidP="00743206">
      <w:pPr>
        <w:pStyle w:val="Heading4"/>
      </w:pPr>
      <w:r>
        <w:t>If the medical diagnosis changes, should the Certificat</w:t>
      </w:r>
      <w:r w:rsidR="00846928">
        <w:t>i</w:t>
      </w:r>
      <w:r>
        <w:t xml:space="preserve">on of Eligibility/Ineligibility form be amended? </w:t>
      </w:r>
    </w:p>
    <w:p w14:paraId="5512BDC3" w14:textId="0B7CD225" w:rsidR="000C12EA" w:rsidRDefault="000C12EA" w:rsidP="00951B51">
      <w:pPr>
        <w:pStyle w:val="Quote"/>
      </w:pPr>
      <w:r>
        <w:t>No</w:t>
      </w:r>
      <w:r w:rsidR="00147BB3">
        <w:t xml:space="preserve">.  </w:t>
      </w:r>
      <w:r>
        <w:t>The certification represents what the person was found eligible for at the time of certification and does not need to be amended</w:t>
      </w:r>
      <w:r w:rsidR="00147BB3">
        <w:t xml:space="preserve">.  </w:t>
      </w:r>
      <w:r>
        <w:t>Changes in the consumer’s circumstances and medical condition should be documented in case notes and updated medical documents</w:t>
      </w:r>
      <w:r w:rsidR="00147BB3">
        <w:t xml:space="preserve">.  </w:t>
      </w:r>
    </w:p>
    <w:p w14:paraId="341FCD53" w14:textId="77777777" w:rsidR="00356EF7" w:rsidRDefault="00356EF7" w:rsidP="00356EF7">
      <w:pPr>
        <w:pStyle w:val="Quote"/>
        <w:ind w:left="0"/>
        <w:rPr>
          <w:rStyle w:val="Emphasis"/>
          <w:rFonts w:ascii="Franklin Gothic Medium" w:hAnsi="Franklin Gothic Medium"/>
          <w:i w:val="0"/>
          <w:iCs/>
        </w:rPr>
      </w:pPr>
    </w:p>
    <w:p w14:paraId="0BB99B14" w14:textId="2BA9283D" w:rsidR="00356EF7" w:rsidRPr="00356EF7" w:rsidRDefault="00356EF7" w:rsidP="00356EF7">
      <w:pPr>
        <w:pStyle w:val="Quote"/>
        <w:ind w:left="0"/>
        <w:rPr>
          <w:rStyle w:val="Emphasis"/>
          <w:rFonts w:ascii="Franklin Gothic Book" w:hAnsi="Franklin Gothic Book"/>
          <w:i w:val="0"/>
          <w:iCs/>
          <w:color w:val="000000" w:themeColor="text1"/>
        </w:rPr>
      </w:pPr>
      <w:r w:rsidRPr="00356EF7">
        <w:rPr>
          <w:rStyle w:val="Emphasis"/>
          <w:rFonts w:ascii="Franklin Gothic Medium" w:hAnsi="Franklin Gothic Medium"/>
          <w:i w:val="0"/>
          <w:iCs/>
        </w:rPr>
        <w:t>Determining Type and Source Based on Impact of Disability</w:t>
      </w:r>
    </w:p>
    <w:p w14:paraId="7A574985" w14:textId="2A7666BD" w:rsidR="000C12EA" w:rsidRDefault="000C12EA" w:rsidP="00C956FE">
      <w:pPr>
        <w:pStyle w:val="BodyText"/>
        <w:numPr>
          <w:ilvl w:val="1"/>
          <w:numId w:val="19"/>
        </w:numPr>
      </w:pPr>
      <w:r>
        <w:t>Counselors should use their own discretion to determine the type and source based on information they have from observations, medical information, and consumer report</w:t>
      </w:r>
      <w:r w:rsidR="00147BB3">
        <w:t xml:space="preserve">.  </w:t>
      </w:r>
      <w:r>
        <w:t>First</w:t>
      </w:r>
      <w:r w:rsidR="005710F1">
        <w:t>,</w:t>
      </w:r>
      <w:r>
        <w:t xml:space="preserve"> consider how the disabling condition impacts the person and then make an educated determination of which </w:t>
      </w:r>
      <w:r w:rsidR="00C42475">
        <w:t>type c</w:t>
      </w:r>
      <w:r w:rsidRPr="00FC2CB7">
        <w:t>ode</w:t>
      </w:r>
      <w:r>
        <w:t xml:space="preserve"> is most appropriate</w:t>
      </w:r>
      <w:r w:rsidR="00147BB3">
        <w:t xml:space="preserve">.  </w:t>
      </w:r>
      <w:r>
        <w:t>Differentiation based on the person’s experience is encouraged</w:t>
      </w:r>
      <w:r w:rsidR="00147BB3">
        <w:t xml:space="preserve">.  </w:t>
      </w:r>
    </w:p>
    <w:p w14:paraId="01AC5C12" w14:textId="4AE171E8" w:rsidR="000C12EA" w:rsidRDefault="00866E1D" w:rsidP="00866E1D">
      <w:pPr>
        <w:pStyle w:val="BodyText"/>
        <w:ind w:left="360"/>
      </w:pPr>
      <w:r>
        <w:rPr>
          <w:rStyle w:val="Emphasis"/>
        </w:rPr>
        <w:t>E</w:t>
      </w:r>
      <w:r w:rsidRPr="00866E1D">
        <w:rPr>
          <w:rStyle w:val="Emphasis"/>
        </w:rPr>
        <w:t>xample:</w:t>
      </w:r>
      <w:r w:rsidR="000C12EA">
        <w:t xml:space="preserve"> </w:t>
      </w:r>
      <w:r>
        <w:t>T</w:t>
      </w:r>
      <w:r w:rsidR="000C12EA">
        <w:t>he type and source may be different from one consumer to the next even when the medical diagnosis is the same</w:t>
      </w:r>
      <w:r w:rsidR="00147BB3">
        <w:t xml:space="preserve">.  </w:t>
      </w:r>
      <w:r w:rsidR="000272D0">
        <w:t xml:space="preserve"> C</w:t>
      </w:r>
      <w:r w:rsidR="000C12EA">
        <w:t>onsider which symptoms most impair the person’s ability to work to help determine the most applicable type code</w:t>
      </w:r>
      <w:r w:rsidR="00147BB3">
        <w:t xml:space="preserve">.  </w:t>
      </w:r>
    </w:p>
    <w:p w14:paraId="4C54CF9E" w14:textId="3C8BB6F2" w:rsidR="000C12EA" w:rsidRPr="00866E1D" w:rsidRDefault="000C12EA" w:rsidP="00866E1D">
      <w:pPr>
        <w:pStyle w:val="Heading2"/>
      </w:pPr>
      <w:bookmarkStart w:id="18" w:name="_Toc31893992"/>
      <w:r w:rsidRPr="00866E1D">
        <w:t>Determining Functional Capacity</w:t>
      </w:r>
      <w:bookmarkEnd w:id="18"/>
    </w:p>
    <w:p w14:paraId="6CADB943" w14:textId="729094F4" w:rsidR="000C12EA" w:rsidRDefault="000C12EA" w:rsidP="00C956FE">
      <w:pPr>
        <w:pStyle w:val="BodyText"/>
        <w:numPr>
          <w:ilvl w:val="1"/>
          <w:numId w:val="19"/>
        </w:numPr>
      </w:pPr>
      <w:r>
        <w:t>It is important for counselors to consider how the person interprets their functional strengths and limitations in relation to their disabling condition</w:t>
      </w:r>
      <w:r w:rsidR="00147BB3">
        <w:t xml:space="preserve">.  </w:t>
      </w:r>
      <w:r>
        <w:t xml:space="preserve">Completing this section of the Certification of Eligibility/Ineligibility Form by determining functional loss based on the consumer’s experience is more helpful/accurate than only referring to what is typical of a </w:t>
      </w:r>
      <w:proofErr w:type="gramStart"/>
      <w:r>
        <w:t>particular medical</w:t>
      </w:r>
      <w:proofErr w:type="gramEnd"/>
      <w:r>
        <w:t xml:space="preserve"> diagnosis</w:t>
      </w:r>
      <w:r w:rsidR="00147BB3">
        <w:t xml:space="preserve">.  </w:t>
      </w:r>
    </w:p>
    <w:p w14:paraId="7B1CE77C" w14:textId="04693DDD" w:rsidR="000C12EA" w:rsidRDefault="000C12EA" w:rsidP="00C956FE">
      <w:pPr>
        <w:pStyle w:val="BodyText"/>
        <w:numPr>
          <w:ilvl w:val="1"/>
          <w:numId w:val="19"/>
        </w:numPr>
      </w:pPr>
      <w:r>
        <w:t xml:space="preserve">When considering the mobility section of the Certification form, counselors will determine if mobility limitations are present </w:t>
      </w:r>
      <w:proofErr w:type="gramStart"/>
      <w:r>
        <w:t>as a result of</w:t>
      </w:r>
      <w:proofErr w:type="gramEnd"/>
      <w:r>
        <w:t xml:space="preserve"> the disabling condition(s)</w:t>
      </w:r>
      <w:r w:rsidR="00147BB3">
        <w:t xml:space="preserve">.  </w:t>
      </w:r>
      <w:r>
        <w:t xml:space="preserve">NOTE: This section is not intended to capture limited mobility </w:t>
      </w:r>
      <w:proofErr w:type="gramStart"/>
      <w:r>
        <w:t xml:space="preserve">as a </w:t>
      </w:r>
      <w:r w:rsidR="00FC2CB7">
        <w:t>result of</w:t>
      </w:r>
      <w:proofErr w:type="gramEnd"/>
      <w:r w:rsidR="00FC2CB7">
        <w:t xml:space="preserve"> a criminal </w:t>
      </w:r>
      <w:r w:rsidR="00FC2CB7">
        <w:lastRenderedPageBreak/>
        <w:t xml:space="preserve">suspension </w:t>
      </w:r>
      <w:r>
        <w:t>or legal limitations</w:t>
      </w:r>
      <w:r w:rsidR="00147BB3">
        <w:t xml:space="preserve">.  </w:t>
      </w:r>
      <w:r>
        <w:t>If criminal involvement does impact their access to transportation, this would not be used as an eligibility criterion, but rather an aspect of their plan for employment to assist with this barrier if possible</w:t>
      </w:r>
      <w:r w:rsidR="00147BB3">
        <w:t xml:space="preserve">.  </w:t>
      </w:r>
    </w:p>
    <w:p w14:paraId="2F889354" w14:textId="11044204" w:rsidR="000C12EA" w:rsidRPr="002E5269" w:rsidRDefault="000C12EA" w:rsidP="00C956FE">
      <w:pPr>
        <w:pStyle w:val="Heading1"/>
        <w:numPr>
          <w:ilvl w:val="0"/>
          <w:numId w:val="19"/>
        </w:numPr>
      </w:pPr>
      <w:bookmarkStart w:id="19" w:name="_Toc31893993"/>
      <w:r w:rsidRPr="002E5269">
        <w:t>Timeframe for Determining Eligibility</w:t>
      </w:r>
      <w:bookmarkEnd w:id="19"/>
    </w:p>
    <w:p w14:paraId="2588D46F" w14:textId="72AD05F3" w:rsidR="000C12EA" w:rsidRPr="002E5269" w:rsidRDefault="000C12EA" w:rsidP="002E5269">
      <w:pPr>
        <w:pStyle w:val="BodyText"/>
        <w:numPr>
          <w:ilvl w:val="1"/>
          <w:numId w:val="28"/>
        </w:numPr>
      </w:pPr>
      <w:r w:rsidRPr="002E5269">
        <w:t xml:space="preserve">The eligibility determination shall be made as soon as possible but no later than </w:t>
      </w:r>
      <w:r w:rsidRPr="00B90392">
        <w:rPr>
          <w:b/>
        </w:rPr>
        <w:t>sixty (60) days</w:t>
      </w:r>
      <w:r w:rsidRPr="002E5269">
        <w:t xml:space="preserve"> after the person has applied for services</w:t>
      </w:r>
      <w:r w:rsidR="00147BB3">
        <w:t xml:space="preserve">.  </w:t>
      </w:r>
      <w:r w:rsidRPr="002E5269">
        <w:t xml:space="preserve">Exceptions to this </w:t>
      </w:r>
      <w:r w:rsidR="000A4A4B">
        <w:t>60-</w:t>
      </w:r>
      <w:r w:rsidRPr="002E5269">
        <w:t xml:space="preserve">day timeframe may occur only if: </w:t>
      </w:r>
    </w:p>
    <w:p w14:paraId="0D4A74C7" w14:textId="5854C413" w:rsidR="000C12EA" w:rsidRPr="002E5269" w:rsidRDefault="000C12EA" w:rsidP="00743206">
      <w:pPr>
        <w:pStyle w:val="ListParagraph"/>
        <w:numPr>
          <w:ilvl w:val="2"/>
          <w:numId w:val="28"/>
        </w:numPr>
      </w:pPr>
      <w:r w:rsidRPr="002E5269">
        <w:t>Exceptional and unforeseen circumstances beyond the control of the Division preclude a determination within sixty days and the person and the Division agree to a specific extension of time</w:t>
      </w:r>
      <w:r w:rsidR="00147BB3">
        <w:t xml:space="preserve">.  </w:t>
      </w:r>
      <w:r w:rsidR="00E31D71">
        <w:t>In this circumstance</w:t>
      </w:r>
      <w:r w:rsidR="00F53EE7">
        <w:t>,</w:t>
      </w:r>
      <w:r w:rsidR="00E31D71">
        <w:t xml:space="preserve"> the reason </w:t>
      </w:r>
      <w:r w:rsidR="00F53EE7">
        <w:t xml:space="preserve">for </w:t>
      </w:r>
      <w:r w:rsidR="00E31D71">
        <w:t>the delay and the s</w:t>
      </w:r>
      <w:r w:rsidR="006E6A03">
        <w:t xml:space="preserve">pecific date the certification will be completed </w:t>
      </w:r>
      <w:r w:rsidR="00E31D71" w:rsidRPr="005710F1">
        <w:rPr>
          <w:rStyle w:val="Emphasis"/>
        </w:rPr>
        <w:t>must</w:t>
      </w:r>
      <w:r w:rsidR="006E6A03">
        <w:rPr>
          <w:b/>
        </w:rPr>
        <w:t xml:space="preserve"> </w:t>
      </w:r>
      <w:r w:rsidR="006E6A03">
        <w:t>be documented in the case record</w:t>
      </w:r>
      <w:r w:rsidRPr="002E5269">
        <w:t xml:space="preserve">; or </w:t>
      </w:r>
    </w:p>
    <w:p w14:paraId="6F94A314" w14:textId="3E0D1B3C" w:rsidR="00AD2FAE" w:rsidRPr="002E5269" w:rsidRDefault="00AD2FAE" w:rsidP="00FC2CB7">
      <w:pPr>
        <w:pStyle w:val="ListParagraph"/>
        <w:numPr>
          <w:ilvl w:val="2"/>
          <w:numId w:val="28"/>
        </w:numPr>
      </w:pPr>
      <w:r w:rsidRPr="002E5269">
        <w:t xml:space="preserve">The </w:t>
      </w:r>
      <w:r>
        <w:t>counselor</w:t>
      </w:r>
      <w:r w:rsidR="005710F1">
        <w:t xml:space="preserve"> feels that, due to the significance</w:t>
      </w:r>
      <w:r w:rsidR="00E12E7B">
        <w:t xml:space="preserve"> </w:t>
      </w:r>
      <w:r w:rsidRPr="002E5269">
        <w:t>of the disability, the person may not be able to benefit in terms of an employment outcome and</w:t>
      </w:r>
      <w:r>
        <w:t xml:space="preserve"> </w:t>
      </w:r>
      <w:r w:rsidR="00794FF0">
        <w:t xml:space="preserve">implementation of </w:t>
      </w:r>
      <w:r>
        <w:t>a plan to explore the person’s abilities, capabilities</w:t>
      </w:r>
      <w:r w:rsidR="00794FF0">
        <w:t>,</w:t>
      </w:r>
      <w:r>
        <w:t xml:space="preserve"> </w:t>
      </w:r>
      <w:r w:rsidR="00794FF0">
        <w:t xml:space="preserve">and capacity </w:t>
      </w:r>
      <w:r>
        <w:t xml:space="preserve">to perform in </w:t>
      </w:r>
      <w:r w:rsidR="00794FF0">
        <w:t xml:space="preserve">competitive integrated </w:t>
      </w:r>
      <w:r>
        <w:t xml:space="preserve">work settings, including trial work </w:t>
      </w:r>
      <w:r w:rsidR="005710F1">
        <w:t>experiences, will exceed the 60-</w:t>
      </w:r>
      <w:r>
        <w:t>day timeframe</w:t>
      </w:r>
      <w:r w:rsidR="00147BB3">
        <w:t xml:space="preserve">.  </w:t>
      </w:r>
      <w:r>
        <w:t xml:space="preserve"> </w:t>
      </w:r>
      <w:r w:rsidR="000C12EA" w:rsidRPr="002E5269">
        <w:t xml:space="preserve"> </w:t>
      </w:r>
    </w:p>
    <w:p w14:paraId="3D795078" w14:textId="5C539991" w:rsidR="00B915E9" w:rsidRPr="008E5279" w:rsidRDefault="00B915E9" w:rsidP="008E5279">
      <w:pPr>
        <w:pStyle w:val="Heading3"/>
      </w:pPr>
      <w:bookmarkStart w:id="20" w:name="_Toc31893994"/>
      <w:r w:rsidRPr="008E5279">
        <w:t xml:space="preserve">Guidance — </w:t>
      </w:r>
      <w:r w:rsidR="00685DE7">
        <w:t xml:space="preserve">Timeframes for </w:t>
      </w:r>
      <w:r w:rsidRPr="008E5279">
        <w:t>determining eligibility.</w:t>
      </w:r>
      <w:bookmarkEnd w:id="20"/>
    </w:p>
    <w:p w14:paraId="7210EDAC" w14:textId="63748217" w:rsidR="000C12EA" w:rsidRPr="00002D4B" w:rsidRDefault="000C12EA" w:rsidP="00002D4B">
      <w:pPr>
        <w:pStyle w:val="Quote"/>
      </w:pPr>
      <w:r w:rsidRPr="00002D4B">
        <w:t>The need to use sixty days to determine eligibility should be rare</w:t>
      </w:r>
      <w:r w:rsidR="00147BB3">
        <w:t xml:space="preserve">.  </w:t>
      </w:r>
      <w:r w:rsidRPr="00002D4B">
        <w:t>In some cases</w:t>
      </w:r>
      <w:r w:rsidR="000A4A4B">
        <w:t>,</w:t>
      </w:r>
      <w:r w:rsidRPr="00002D4B">
        <w:t xml:space="preserve"> written information from other sources to determine existence of a disability and ultimate eligibility may not be needed</w:t>
      </w:r>
      <w:r w:rsidR="00147BB3">
        <w:t xml:space="preserve">.  </w:t>
      </w:r>
      <w:r w:rsidRPr="00002D4B">
        <w:t xml:space="preserve">In the absence of newly written materials from other sources, a </w:t>
      </w:r>
      <w:r w:rsidR="00685DE7">
        <w:t>counselor</w:t>
      </w:r>
      <w:r w:rsidRPr="00002D4B">
        <w:t xml:space="preserve"> may determine that a person's disability makes him/her eligible for services as soon as the initial meeting in many situations such as the following: </w:t>
      </w:r>
    </w:p>
    <w:p w14:paraId="0E7AD6C6" w14:textId="77777777" w:rsidR="000C12EA" w:rsidRPr="00002D4B" w:rsidRDefault="000C12EA" w:rsidP="00002D4B">
      <w:pPr>
        <w:pStyle w:val="Quote"/>
        <w:numPr>
          <w:ilvl w:val="0"/>
          <w:numId w:val="26"/>
        </w:numPr>
      </w:pPr>
      <w:r w:rsidRPr="00002D4B">
        <w:t xml:space="preserve">The person has received services on a prior occasion and his/her record of services remains pertinent, is available, and will become part of the new record; or </w:t>
      </w:r>
    </w:p>
    <w:p w14:paraId="198E2400" w14:textId="77777777" w:rsidR="000C12EA" w:rsidRPr="00002D4B" w:rsidRDefault="000C12EA" w:rsidP="00002D4B">
      <w:pPr>
        <w:pStyle w:val="Quote"/>
        <w:numPr>
          <w:ilvl w:val="0"/>
          <w:numId w:val="26"/>
        </w:numPr>
      </w:pPr>
      <w:r w:rsidRPr="00002D4B">
        <w:t xml:space="preserve">Information from another source adequate to fulfill the eligibility criteria is known to exist, is attainable, and has been requested from that source; or </w:t>
      </w:r>
    </w:p>
    <w:p w14:paraId="7D07E512" w14:textId="7714974B" w:rsidR="000C12EA" w:rsidRPr="00002D4B" w:rsidRDefault="000C12EA" w:rsidP="00002D4B">
      <w:pPr>
        <w:pStyle w:val="Quote"/>
        <w:numPr>
          <w:ilvl w:val="0"/>
          <w:numId w:val="26"/>
        </w:numPr>
      </w:pPr>
      <w:r w:rsidRPr="00002D4B">
        <w:t xml:space="preserve">The disability is obvious to the </w:t>
      </w:r>
      <w:r w:rsidR="00685DE7">
        <w:t>counselor</w:t>
      </w:r>
      <w:r w:rsidRPr="00002D4B">
        <w:t xml:space="preserve"> (as well as to any other reasonable person)</w:t>
      </w:r>
      <w:r w:rsidR="00147BB3">
        <w:t xml:space="preserve">.  </w:t>
      </w:r>
    </w:p>
    <w:p w14:paraId="32EBD1E9" w14:textId="677D4713" w:rsidR="000C12EA" w:rsidRPr="002E5269" w:rsidRDefault="000C12EA" w:rsidP="00664FA9">
      <w:pPr>
        <w:pStyle w:val="Quote"/>
      </w:pPr>
      <w:r w:rsidRPr="002E5269">
        <w:t xml:space="preserve">If medical/psychological data from another source is not in the record, the </w:t>
      </w:r>
      <w:r w:rsidR="00685DE7">
        <w:t>counselor</w:t>
      </w:r>
      <w:r w:rsidRPr="002E5269">
        <w:t xml:space="preserve"> must describe the functional limitations posed by the disability and how they interfere with gainful work</w:t>
      </w:r>
      <w:r w:rsidR="00147BB3">
        <w:t xml:space="preserve">.  </w:t>
      </w:r>
    </w:p>
    <w:p w14:paraId="1BE0A08D" w14:textId="1EC1445C" w:rsidR="000C12EA" w:rsidRPr="002E5269" w:rsidRDefault="000C12EA" w:rsidP="00664FA9">
      <w:pPr>
        <w:pStyle w:val="Quote"/>
      </w:pPr>
      <w:r w:rsidRPr="002E5269">
        <w:t>If more than sixty (60) days is needed, the record of services should indicate the reason(s)</w:t>
      </w:r>
      <w:r w:rsidR="006E6A03">
        <w:t>,</w:t>
      </w:r>
      <w:r w:rsidRPr="002E5269">
        <w:t xml:space="preserve"> </w:t>
      </w:r>
      <w:r w:rsidR="006E6A03">
        <w:t xml:space="preserve">the specific date by which the certification will be </w:t>
      </w:r>
      <w:r w:rsidR="00CF77C1">
        <w:t>completed,</w:t>
      </w:r>
      <w:r w:rsidR="006E6A03">
        <w:t xml:space="preserve"> </w:t>
      </w:r>
      <w:r w:rsidRPr="002E5269">
        <w:t>and that the person agrees</w:t>
      </w:r>
      <w:r w:rsidR="006E6A03">
        <w:t xml:space="preserve"> to the delay</w:t>
      </w:r>
      <w:r w:rsidR="00147BB3">
        <w:t xml:space="preserve">.  </w:t>
      </w:r>
      <w:r w:rsidRPr="002E5269">
        <w:t>Certification of eligibility means that an IPE can be developed and that services can begin</w:t>
      </w:r>
      <w:r w:rsidR="00147BB3">
        <w:t xml:space="preserve">.  </w:t>
      </w:r>
      <w:r w:rsidRPr="002E5269">
        <w:t xml:space="preserve">Each case may fall into one of three types: </w:t>
      </w:r>
    </w:p>
    <w:p w14:paraId="137C10F3" w14:textId="77777777" w:rsidR="000C12EA" w:rsidRPr="002E5269" w:rsidRDefault="000C12EA" w:rsidP="00664FA9">
      <w:pPr>
        <w:pStyle w:val="Heading4"/>
      </w:pPr>
      <w:r w:rsidRPr="002E5269">
        <w:lastRenderedPageBreak/>
        <w:t xml:space="preserve">Fast Track </w:t>
      </w:r>
    </w:p>
    <w:p w14:paraId="19A2F7F2" w14:textId="21C3FDB7" w:rsidR="000C12EA" w:rsidRPr="002E5269" w:rsidRDefault="000C12EA" w:rsidP="00664FA9">
      <w:pPr>
        <w:pStyle w:val="Quote"/>
      </w:pPr>
      <w:r w:rsidRPr="002E5269">
        <w:t>In some situations</w:t>
      </w:r>
      <w:r w:rsidR="000A4A4B">
        <w:t>,</w:t>
      </w:r>
      <w:r w:rsidRPr="002E5269">
        <w:t xml:space="preserve"> the IPE may be written at the same time as certification</w:t>
      </w:r>
      <w:r w:rsidR="00147BB3">
        <w:t xml:space="preserve">.  </w:t>
      </w:r>
      <w:r w:rsidRPr="002E5269">
        <w:t xml:space="preserve">Those situations are: </w:t>
      </w:r>
    </w:p>
    <w:p w14:paraId="1C0EC533" w14:textId="79D449EF" w:rsidR="000C12EA" w:rsidRPr="002E5269" w:rsidRDefault="000C12EA" w:rsidP="00685DE7">
      <w:pPr>
        <w:pStyle w:val="Quote"/>
        <w:numPr>
          <w:ilvl w:val="0"/>
          <w:numId w:val="37"/>
        </w:numPr>
      </w:pPr>
      <w:r w:rsidRPr="002E5269">
        <w:t xml:space="preserve">The person is known to the Division, disability-related data are present or easily attainable, and the vocational goal, services </w:t>
      </w:r>
      <w:r w:rsidR="00CF77C1" w:rsidRPr="002E5269">
        <w:t>needed,</w:t>
      </w:r>
      <w:r w:rsidRPr="002E5269">
        <w:t xml:space="preserve"> and resources are known and attainable</w:t>
      </w:r>
      <w:r w:rsidR="00147BB3">
        <w:t xml:space="preserve">.  </w:t>
      </w:r>
    </w:p>
    <w:p w14:paraId="7DAFF789" w14:textId="5012AAAC" w:rsidR="000C12EA" w:rsidRPr="002E5269" w:rsidRDefault="000C12EA" w:rsidP="00685DE7">
      <w:pPr>
        <w:pStyle w:val="Quote"/>
        <w:numPr>
          <w:ilvl w:val="0"/>
          <w:numId w:val="37"/>
        </w:numPr>
      </w:pPr>
      <w:r w:rsidRPr="002E5269">
        <w:t xml:space="preserve">The person is new to the Division, but other features in the example above are the same, and the </w:t>
      </w:r>
      <w:r w:rsidR="00685DE7">
        <w:t>counselor</w:t>
      </w:r>
      <w:r w:rsidRPr="002E5269">
        <w:t xml:space="preserve"> and individual feel comfortable with proceeding</w:t>
      </w:r>
      <w:r w:rsidR="00147BB3">
        <w:t xml:space="preserve">.  </w:t>
      </w:r>
    </w:p>
    <w:p w14:paraId="62B843F2" w14:textId="77777777" w:rsidR="000C12EA" w:rsidRPr="002E5269" w:rsidRDefault="000C12EA" w:rsidP="00664FA9">
      <w:pPr>
        <w:pStyle w:val="Heading4"/>
      </w:pPr>
      <w:r w:rsidRPr="002E5269">
        <w:t xml:space="preserve">Plan Development and Implementation </w:t>
      </w:r>
    </w:p>
    <w:p w14:paraId="52137A72" w14:textId="2F1966B0" w:rsidR="000C12EA" w:rsidRPr="002E5269" w:rsidRDefault="000C12EA" w:rsidP="00664FA9">
      <w:pPr>
        <w:pStyle w:val="Quote"/>
      </w:pPr>
      <w:r w:rsidRPr="002E5269">
        <w:t>In some situations</w:t>
      </w:r>
      <w:r w:rsidR="000A4A4B">
        <w:t>,</w:t>
      </w:r>
      <w:r w:rsidRPr="002E5269">
        <w:t xml:space="preserve"> more time is needed for gathering information and for planning</w:t>
      </w:r>
      <w:r w:rsidR="00147BB3">
        <w:t xml:space="preserve">.  </w:t>
      </w:r>
    </w:p>
    <w:p w14:paraId="42342519" w14:textId="2E645826" w:rsidR="000C12EA" w:rsidRPr="002E5269" w:rsidRDefault="000C12EA" w:rsidP="00E02D5A">
      <w:pPr>
        <w:pStyle w:val="Quote"/>
        <w:numPr>
          <w:ilvl w:val="0"/>
          <w:numId w:val="36"/>
        </w:numPr>
      </w:pPr>
      <w:r w:rsidRPr="002E5269">
        <w:t xml:space="preserve">The person has acquired a disability and must change jobs but </w:t>
      </w:r>
      <w:proofErr w:type="gramStart"/>
      <w:r w:rsidRPr="002E5269">
        <w:t>doesn’t</w:t>
      </w:r>
      <w:proofErr w:type="gramEnd"/>
      <w:r w:rsidRPr="002E5269">
        <w:t xml:space="preserve"> know how, to what type of job, et</w:t>
      </w:r>
      <w:r w:rsidR="007B53FA">
        <w:t>c</w:t>
      </w:r>
      <w:r w:rsidR="00147BB3">
        <w:t xml:space="preserve">.  </w:t>
      </w:r>
      <w:r w:rsidR="007B53FA">
        <w:t xml:space="preserve">Aptitude testing, counseling and </w:t>
      </w:r>
      <w:r w:rsidRPr="002E5269">
        <w:t>guidance, and referral to pertinent resources may be the only services needed to identify a suitable direction and write an IPE</w:t>
      </w:r>
      <w:r w:rsidR="00147BB3">
        <w:t xml:space="preserve">.    </w:t>
      </w:r>
    </w:p>
    <w:p w14:paraId="65801AC7" w14:textId="77777777" w:rsidR="000C12EA" w:rsidRPr="002E5269" w:rsidRDefault="000C12EA" w:rsidP="00664FA9">
      <w:pPr>
        <w:pStyle w:val="Heading4"/>
      </w:pPr>
      <w:r w:rsidRPr="002E5269">
        <w:t xml:space="preserve">Information and Extensive Support </w:t>
      </w:r>
    </w:p>
    <w:p w14:paraId="7E90374E" w14:textId="3312AEAA" w:rsidR="000C12EA" w:rsidRPr="002E5269" w:rsidRDefault="000C12EA" w:rsidP="00664FA9">
      <w:pPr>
        <w:pStyle w:val="Quote"/>
      </w:pPr>
      <w:r w:rsidRPr="002E5269">
        <w:t>In other situations</w:t>
      </w:r>
      <w:r w:rsidR="000A4A4B">
        <w:t>,</w:t>
      </w:r>
      <w:r w:rsidRPr="002E5269">
        <w:t xml:space="preserve"> more time is needed for planning as well as service delivery</w:t>
      </w:r>
      <w:r w:rsidR="00147BB3">
        <w:t xml:space="preserve">.  </w:t>
      </w:r>
    </w:p>
    <w:p w14:paraId="7DA6A491" w14:textId="28BFA623" w:rsidR="000C12EA" w:rsidRPr="002E5269" w:rsidRDefault="000C12EA" w:rsidP="00664FA9">
      <w:pPr>
        <w:pStyle w:val="Quote"/>
        <w:numPr>
          <w:ilvl w:val="0"/>
          <w:numId w:val="35"/>
        </w:numPr>
      </w:pPr>
      <w:r w:rsidRPr="002E5269">
        <w:t>The person has no work history and very significant disabilities</w:t>
      </w:r>
      <w:r w:rsidR="00147BB3">
        <w:t xml:space="preserve">.  </w:t>
      </w:r>
      <w:r w:rsidRPr="002E5269">
        <w:t>A series of evaluations and trials will be needed to identify a vocational goal</w:t>
      </w:r>
      <w:r w:rsidR="00147BB3">
        <w:t xml:space="preserve">.  </w:t>
      </w:r>
      <w:r w:rsidRPr="002E5269">
        <w:t>It is known from the start that long-term involvement may be needed</w:t>
      </w:r>
      <w:r w:rsidR="00147BB3">
        <w:t xml:space="preserve">.  </w:t>
      </w:r>
    </w:p>
    <w:p w14:paraId="7D044AFA" w14:textId="121D361C" w:rsidR="00224852" w:rsidRDefault="000C12EA" w:rsidP="00664FA9">
      <w:pPr>
        <w:pStyle w:val="Quote"/>
        <w:numPr>
          <w:ilvl w:val="0"/>
          <w:numId w:val="35"/>
        </w:numPr>
      </w:pPr>
      <w:r w:rsidRPr="002E5269">
        <w:t>The person has excellent work and educational histories but has recently become disabled</w:t>
      </w:r>
      <w:r w:rsidR="00147BB3">
        <w:t xml:space="preserve">.  </w:t>
      </w:r>
      <w:r w:rsidRPr="002E5269">
        <w:t xml:space="preserve">Although the person may be able to resume his/her former job with accommodations and assistive technology, s/he will likely need multiple services over an extended </w:t>
      </w:r>
      <w:proofErr w:type="gramStart"/>
      <w:r w:rsidRPr="002E5269">
        <w:t>period of time</w:t>
      </w:r>
      <w:proofErr w:type="gramEnd"/>
      <w:r w:rsidR="00147BB3">
        <w:t xml:space="preserve">.  </w:t>
      </w:r>
    </w:p>
    <w:p w14:paraId="28BD6636" w14:textId="77777777" w:rsidR="00664FA9" w:rsidRDefault="00664FA9" w:rsidP="00664FA9">
      <w:pPr>
        <w:pStyle w:val="Quote"/>
        <w:rPr>
          <w:rStyle w:val="Emphasis"/>
        </w:rPr>
      </w:pPr>
      <w:r w:rsidRPr="00002D4B">
        <w:rPr>
          <w:rStyle w:val="Emphasis"/>
        </w:rPr>
        <w:t>End Guidance.</w:t>
      </w:r>
    </w:p>
    <w:p w14:paraId="0506F62B" w14:textId="66418D7C" w:rsidR="000C12EA" w:rsidRPr="00F67ACB" w:rsidRDefault="00C010C6" w:rsidP="00C956FE">
      <w:pPr>
        <w:pStyle w:val="Heading1"/>
        <w:numPr>
          <w:ilvl w:val="0"/>
          <w:numId w:val="19"/>
        </w:numPr>
      </w:pPr>
      <w:bookmarkStart w:id="21" w:name="_Toc31893995"/>
      <w:r>
        <w:t>Undocumented Individuals</w:t>
      </w:r>
      <w:bookmarkEnd w:id="21"/>
      <w:r w:rsidR="000C12EA" w:rsidRPr="00F67ACB">
        <w:t xml:space="preserve"> </w:t>
      </w:r>
    </w:p>
    <w:p w14:paraId="771E8D36" w14:textId="3A879C21" w:rsidR="000C12EA" w:rsidRPr="00083C65" w:rsidRDefault="000C12EA" w:rsidP="004435A3">
      <w:pPr>
        <w:pStyle w:val="BodyText"/>
      </w:pPr>
      <w:r w:rsidRPr="00083C65">
        <w:t xml:space="preserve">Prior to developing an Individualized Plan for Employment, the immigration status of </w:t>
      </w:r>
      <w:r w:rsidR="00C010C6">
        <w:t>individuals</w:t>
      </w:r>
      <w:r w:rsidRPr="00083C65">
        <w:t xml:space="preserve"> must be clarified</w:t>
      </w:r>
      <w:r w:rsidR="00147BB3">
        <w:t xml:space="preserve">.  </w:t>
      </w:r>
      <w:r w:rsidRPr="00083C65">
        <w:t xml:space="preserve">An IPE will not be developed with an </w:t>
      </w:r>
      <w:r w:rsidR="00C010C6">
        <w:t>individual</w:t>
      </w:r>
      <w:r w:rsidRPr="00083C65">
        <w:t xml:space="preserve"> whose visa prohibits work</w:t>
      </w:r>
      <w:r w:rsidR="00147BB3">
        <w:t xml:space="preserve">.  </w:t>
      </w:r>
      <w:r w:rsidRPr="00083C65">
        <w:t xml:space="preserve">Also, </w:t>
      </w:r>
      <w:r w:rsidR="00C010C6">
        <w:t xml:space="preserve">if </w:t>
      </w:r>
      <w:r w:rsidRPr="00083C65">
        <w:t xml:space="preserve">an </w:t>
      </w:r>
      <w:r w:rsidR="00C010C6">
        <w:t>undocumented individual</w:t>
      </w:r>
      <w:r w:rsidRPr="00083C65">
        <w:t xml:space="preserve"> does not have proper credentials an IPE cannot be completed; consequently, services will not be provided</w:t>
      </w:r>
      <w:r w:rsidR="00147BB3">
        <w:t xml:space="preserve">.  </w:t>
      </w:r>
    </w:p>
    <w:p w14:paraId="0EE431C8" w14:textId="075D0277" w:rsidR="000C12EA" w:rsidRDefault="00AA650A" w:rsidP="00C956FE">
      <w:pPr>
        <w:pStyle w:val="Heading1"/>
        <w:numPr>
          <w:ilvl w:val="0"/>
          <w:numId w:val="19"/>
        </w:numPr>
      </w:pPr>
      <w:bookmarkStart w:id="22" w:name="_Toc31893996"/>
      <w:r>
        <w:t>Ineligibility Determinations</w:t>
      </w:r>
      <w:bookmarkEnd w:id="22"/>
      <w:r w:rsidR="00224852">
        <w:t xml:space="preserve"> </w:t>
      </w:r>
    </w:p>
    <w:p w14:paraId="635682DF" w14:textId="77777777" w:rsidR="000C12EA" w:rsidRPr="00201B5E" w:rsidRDefault="000C12EA" w:rsidP="00664FA9">
      <w:pPr>
        <w:pStyle w:val="BodyText"/>
      </w:pPr>
      <w:r w:rsidRPr="00201B5E">
        <w:t xml:space="preserve">If the Division determines that an applicant is ineligible for services or determines that a person receiving services under an IPE is no longer eligible, the Division shall: </w:t>
      </w:r>
    </w:p>
    <w:p w14:paraId="08E78E37" w14:textId="77777777" w:rsidR="000C12EA" w:rsidRPr="00201B5E" w:rsidRDefault="000C12EA" w:rsidP="00664FA9">
      <w:pPr>
        <w:pStyle w:val="BodyText"/>
        <w:numPr>
          <w:ilvl w:val="1"/>
          <w:numId w:val="31"/>
        </w:numPr>
      </w:pPr>
      <w:r w:rsidRPr="00201B5E">
        <w:lastRenderedPageBreak/>
        <w:t xml:space="preserve">Make the determination only after providing an opportunity for full consultation with the person or, as appropriate, the person's </w:t>
      </w:r>
      <w:proofErr w:type="gramStart"/>
      <w:r w:rsidRPr="00201B5E">
        <w:t>representative;</w:t>
      </w:r>
      <w:proofErr w:type="gramEnd"/>
      <w:r w:rsidRPr="00201B5E">
        <w:t xml:space="preserve"> </w:t>
      </w:r>
    </w:p>
    <w:p w14:paraId="3647885B" w14:textId="77777777" w:rsidR="000C12EA" w:rsidRPr="00201B5E" w:rsidRDefault="000C12EA" w:rsidP="00664FA9">
      <w:pPr>
        <w:pStyle w:val="BodyText"/>
        <w:numPr>
          <w:ilvl w:val="1"/>
          <w:numId w:val="31"/>
        </w:numPr>
      </w:pPr>
      <w:r w:rsidRPr="00201B5E">
        <w:t>Inform the person in writing (supplemented as needed by other appropriate modes of communication consistent with the informed choice of the person) of the ineligibility determination, including the reasons for that determination, the requirements under this section, and the means by which the person may</w:t>
      </w:r>
      <w:r w:rsidR="00201B5E">
        <w:t xml:space="preserve"> </w:t>
      </w:r>
      <w:r w:rsidRPr="00201B5E">
        <w:t xml:space="preserve">express and seek remedy for any dissatisfaction, including the procedures for review of a determination by the </w:t>
      </w:r>
      <w:r w:rsidR="00685DE7">
        <w:t>counselor</w:t>
      </w:r>
      <w:r w:rsidRPr="00201B5E">
        <w:t xml:space="preserve">, by way of mediation, administrative review, and/or fair hearing; </w:t>
      </w:r>
    </w:p>
    <w:p w14:paraId="7146E39F" w14:textId="77777777" w:rsidR="00201B5E" w:rsidRDefault="000C12EA" w:rsidP="00664FA9">
      <w:pPr>
        <w:pStyle w:val="BodyText"/>
        <w:numPr>
          <w:ilvl w:val="1"/>
          <w:numId w:val="31"/>
        </w:numPr>
      </w:pPr>
      <w:r w:rsidRPr="00201B5E">
        <w:t>Provide the person with a description of services available from the Client</w:t>
      </w:r>
      <w:r w:rsidR="00201B5E">
        <w:t xml:space="preserve"> </w:t>
      </w:r>
      <w:r w:rsidRPr="00201B5E">
        <w:t xml:space="preserve">Assistance Program and information on how to contact that program; and </w:t>
      </w:r>
    </w:p>
    <w:p w14:paraId="47973F6D" w14:textId="233760C1" w:rsidR="00A37ABA" w:rsidRDefault="000C12EA" w:rsidP="00664FA9">
      <w:pPr>
        <w:pStyle w:val="BodyText"/>
        <w:numPr>
          <w:ilvl w:val="1"/>
          <w:numId w:val="31"/>
        </w:numPr>
      </w:pPr>
      <w:r w:rsidRPr="00201B5E">
        <w:t>Review within twelve (12) months (and annually thereafter if requested by the person or, if appropriate, by the person's representative) any ineligibility determination that is based on a finding that the person is incapable of achieving an employment outcome</w:t>
      </w:r>
      <w:r w:rsidR="00147BB3">
        <w:t xml:space="preserve">.  </w:t>
      </w:r>
      <w:r w:rsidRPr="00201B5E">
        <w:t>This review need not be conducted in situations in which the person has refused i</w:t>
      </w:r>
      <w:r w:rsidR="00EB0F2B">
        <w:t>t, is no longer present in the s</w:t>
      </w:r>
      <w:r w:rsidRPr="00201B5E">
        <w:t>tate, whose whereabouts is unknown, or whose medical condition is rapidly progressive or terminal</w:t>
      </w:r>
      <w:r w:rsidR="00147BB3">
        <w:t xml:space="preserve">.  </w:t>
      </w:r>
    </w:p>
    <w:p w14:paraId="10690B66" w14:textId="06B169B3" w:rsidR="000C12EA" w:rsidRDefault="00ED4690" w:rsidP="00C956FE">
      <w:pPr>
        <w:pStyle w:val="Heading1"/>
        <w:numPr>
          <w:ilvl w:val="0"/>
          <w:numId w:val="19"/>
        </w:numPr>
      </w:pPr>
      <w:bookmarkStart w:id="23" w:name="_Toc31893997"/>
      <w:r>
        <w:t>Closure w</w:t>
      </w:r>
      <w:r w:rsidR="00EB0F2B">
        <w:t xml:space="preserve">ithout </w:t>
      </w:r>
      <w:r w:rsidR="000C12EA" w:rsidRPr="00F67ACB">
        <w:t>Eligibility Determination</w:t>
      </w:r>
      <w:bookmarkEnd w:id="23"/>
      <w:r w:rsidR="00224852">
        <w:t xml:space="preserve"> </w:t>
      </w:r>
    </w:p>
    <w:p w14:paraId="28E6F085" w14:textId="620E0670" w:rsidR="00D9591F" w:rsidRDefault="000C12EA" w:rsidP="004435A3">
      <w:pPr>
        <w:pStyle w:val="BodyText"/>
      </w:pPr>
      <w:r>
        <w:t>The Division may not close an applicant's record of services prior to making an eligibility determination unless the applicant declines to participate in, or is unavailable to complete an assessment for determining eligibility, and the Division has made a reasonable number of attempts to contact the applicant (or, if appropriate, the applicant's representative) to encourage the applicant's participation.</w:t>
      </w:r>
    </w:p>
    <w:p w14:paraId="65CB21B7" w14:textId="53589C31" w:rsidR="00603D5B" w:rsidRPr="00E13E4B" w:rsidRDefault="00603D5B" w:rsidP="004435A3">
      <w:pPr>
        <w:pStyle w:val="BodyText"/>
        <w:rPr>
          <w:rFonts w:ascii="Franklin Gothic Medium" w:hAnsi="Franklin Gothic Medium"/>
          <w:bCs/>
          <w:sz w:val="28"/>
          <w:szCs w:val="28"/>
        </w:rPr>
      </w:pPr>
      <w:r w:rsidRPr="00E13E4B">
        <w:rPr>
          <w:rFonts w:ascii="Franklin Gothic Medium" w:hAnsi="Franklin Gothic Medium"/>
          <w:bCs/>
          <w:sz w:val="28"/>
          <w:szCs w:val="28"/>
        </w:rPr>
        <w:t>Section X.</w:t>
      </w:r>
      <w:r w:rsidRPr="00E13E4B">
        <w:rPr>
          <w:rFonts w:ascii="Franklin Gothic Medium" w:hAnsi="Franklin Gothic Medium"/>
          <w:bCs/>
          <w:sz w:val="28"/>
          <w:szCs w:val="28"/>
        </w:rPr>
        <w:tab/>
        <w:t>Closure with Eligibility Determination</w:t>
      </w:r>
    </w:p>
    <w:p w14:paraId="3AB53AD5" w14:textId="62FCE5A4" w:rsidR="00603D5B" w:rsidRDefault="00603D5B" w:rsidP="00603D5B">
      <w:pPr>
        <w:pStyle w:val="BodyText"/>
        <w:numPr>
          <w:ilvl w:val="1"/>
          <w:numId w:val="19"/>
        </w:numPr>
      </w:pPr>
      <w:r>
        <w:t xml:space="preserve"> If, following a determination of eligibility, a determination is made that the person is not able to achieve an employment outcome at this time, the criterion in Section VIII must be followed because an ineligibility determination has become necessary.</w:t>
      </w:r>
    </w:p>
    <w:p w14:paraId="1B029D85" w14:textId="20CE19FB" w:rsidR="00603D5B" w:rsidRDefault="00603D5B" w:rsidP="00603D5B">
      <w:pPr>
        <w:pStyle w:val="BodyText"/>
        <w:numPr>
          <w:ilvl w:val="1"/>
          <w:numId w:val="19"/>
        </w:numPr>
      </w:pPr>
      <w:r>
        <w:t>If closure is for another reason, activities appropriate for the reason shall be carried out as described in Section IX.</w:t>
      </w:r>
    </w:p>
    <w:p w14:paraId="1DC76B35" w14:textId="1DEE5217" w:rsidR="00603D5B" w:rsidRPr="00A11E7B" w:rsidRDefault="00603D5B" w:rsidP="00603D5B">
      <w:pPr>
        <w:pStyle w:val="BodyText"/>
        <w:ind w:left="720"/>
        <w:rPr>
          <w:b/>
          <w:color w:val="0070C0"/>
          <w14:textFill>
            <w14:gradFill>
              <w14:gsLst>
                <w14:gs w14:pos="35050">
                  <w14:srgbClr w14:val="00559D"/>
                </w14:gs>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93403D">
        <w:rPr>
          <w:b/>
          <w:color w:val="335B95"/>
        </w:rPr>
        <w:t>Guidance – Regarding sections IX and X</w:t>
      </w:r>
      <w:r w:rsidRPr="00A11E7B">
        <w:rPr>
          <w:b/>
          <w:color w:val="0070C0"/>
          <w14:textFill>
            <w14:gradFill>
              <w14:gsLst>
                <w14:gs w14:pos="35050">
                  <w14:srgbClr w14:val="00559D"/>
                </w14:gs>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w:t>
      </w:r>
    </w:p>
    <w:p w14:paraId="5AD00DBA" w14:textId="4F369587" w:rsidR="00603D5B" w:rsidRDefault="00603D5B" w:rsidP="00603D5B">
      <w:pPr>
        <w:pStyle w:val="BodyText"/>
        <w:ind w:left="720"/>
        <w:rPr>
          <w:i/>
        </w:rPr>
      </w:pPr>
      <w:r>
        <w:rPr>
          <w:i/>
        </w:rPr>
        <w:t>If closure is due to a reason other than the significance of the disability (e.g., the person declines to participate in or is unavailable to complete rehabilitation activities, or other comparable reason), activities appropriate to the reason shall be carried out</w:t>
      </w:r>
      <w:r w:rsidR="00147BB3">
        <w:rPr>
          <w:i/>
        </w:rPr>
        <w:t xml:space="preserve">.  </w:t>
      </w:r>
      <w:r>
        <w:rPr>
          <w:i/>
        </w:rPr>
        <w:t xml:space="preserve"> Examples:</w:t>
      </w:r>
    </w:p>
    <w:p w14:paraId="5C01B083" w14:textId="6731DDEA" w:rsidR="00603D5B" w:rsidRDefault="00603D5B" w:rsidP="00603D5B">
      <w:pPr>
        <w:pStyle w:val="BodyText"/>
        <w:ind w:left="720"/>
        <w:rPr>
          <w:i/>
        </w:rPr>
      </w:pPr>
      <w:r w:rsidRPr="0093403D">
        <w:rPr>
          <w:b/>
          <w:i/>
          <w:color w:val="335B95"/>
        </w:rPr>
        <w:t>Moves without forwarding address</w:t>
      </w:r>
      <w:r w:rsidRPr="00A11E7B">
        <w:rPr>
          <w:b/>
          <w:i/>
          <w:color w:val="0070C0"/>
        </w:rPr>
        <w:t>:</w:t>
      </w:r>
      <w:r>
        <w:rPr>
          <w:i/>
          <w:color w:val="0070C0"/>
        </w:rPr>
        <w:t xml:space="preserve">  </w:t>
      </w:r>
      <w:r>
        <w:rPr>
          <w:i/>
        </w:rPr>
        <w:t>In the record of services describe reasons for determining that the person moved without a forwarding address, and state that the case is being closed.</w:t>
      </w:r>
    </w:p>
    <w:p w14:paraId="69D6C946" w14:textId="07F5B18E" w:rsidR="00603D5B" w:rsidRDefault="00A11E7B" w:rsidP="00603D5B">
      <w:pPr>
        <w:pStyle w:val="BodyText"/>
        <w:ind w:left="720"/>
        <w:rPr>
          <w:i/>
        </w:rPr>
      </w:pPr>
      <w:r w:rsidRPr="0093403D">
        <w:rPr>
          <w:b/>
          <w:i/>
          <w:color w:val="335B95"/>
        </w:rPr>
        <w:lastRenderedPageBreak/>
        <w:t>Does not participate:</w:t>
      </w:r>
      <w:r w:rsidRPr="0093403D">
        <w:rPr>
          <w:i/>
          <w:color w:val="335B95"/>
        </w:rPr>
        <w:t xml:space="preserve"> </w:t>
      </w:r>
      <w:r>
        <w:rPr>
          <w:i/>
        </w:rPr>
        <w:t>Send notification of impending closure; give deadline for response to discuss (not less than two weeks from date of letter); advise of appeal rights including availability of the Client Assistance Program</w:t>
      </w:r>
      <w:r w:rsidR="00147BB3">
        <w:rPr>
          <w:i/>
        </w:rPr>
        <w:t xml:space="preserve">.  </w:t>
      </w:r>
      <w:r>
        <w:rPr>
          <w:i/>
        </w:rPr>
        <w:t xml:space="preserve"> Upon Reaching deadline or following discussion, the record of services should show the case was closed.</w:t>
      </w:r>
    </w:p>
    <w:p w14:paraId="77CE759C" w14:textId="2CF8C793" w:rsidR="00A11E7B" w:rsidRDefault="00A11E7B" w:rsidP="00603D5B">
      <w:pPr>
        <w:pStyle w:val="BodyText"/>
        <w:ind w:left="720"/>
        <w:rPr>
          <w:i/>
        </w:rPr>
      </w:pPr>
      <w:r w:rsidRPr="0093403D">
        <w:rPr>
          <w:b/>
          <w:i/>
          <w:color w:val="335B95"/>
        </w:rPr>
        <w:t>Requests closure:</w:t>
      </w:r>
      <w:r>
        <w:rPr>
          <w:i/>
        </w:rPr>
        <w:t xml:space="preserve">  Send confirmation letter; include appeal rights and availability of the Client Assistance </w:t>
      </w:r>
      <w:proofErr w:type="gramStart"/>
      <w:r>
        <w:rPr>
          <w:i/>
        </w:rPr>
        <w:t>Program, if</w:t>
      </w:r>
      <w:proofErr w:type="gramEnd"/>
      <w:r>
        <w:rPr>
          <w:i/>
        </w:rPr>
        <w:t xml:space="preserve"> the request may be related to dissatisfaction with DBVI.</w:t>
      </w:r>
    </w:p>
    <w:p w14:paraId="5F0D2CC4" w14:textId="619AEE3A" w:rsidR="00A11E7B" w:rsidRPr="00A11E7B" w:rsidRDefault="00A11E7B" w:rsidP="00603D5B">
      <w:pPr>
        <w:pStyle w:val="BodyText"/>
        <w:ind w:left="720"/>
        <w:rPr>
          <w:b/>
          <w:i/>
          <w:color w:val="0070C0"/>
        </w:rPr>
      </w:pPr>
      <w:r w:rsidRPr="0093403D">
        <w:rPr>
          <w:b/>
          <w:i/>
          <w:color w:val="335B95"/>
        </w:rPr>
        <w:t>End Guidance</w:t>
      </w:r>
      <w:r w:rsidRPr="00A11E7B">
        <w:rPr>
          <w:b/>
          <w:i/>
          <w:color w:val="0070C0"/>
        </w:rPr>
        <w:t>.</w:t>
      </w:r>
    </w:p>
    <w:sectPr w:rsidR="00A11E7B" w:rsidRPr="00A11E7B" w:rsidSect="00CC6127">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643F0" w14:textId="77777777" w:rsidR="00603D5B" w:rsidRDefault="00603D5B" w:rsidP="00B847F0">
      <w:r>
        <w:separator/>
      </w:r>
    </w:p>
  </w:endnote>
  <w:endnote w:type="continuationSeparator" w:id="0">
    <w:p w14:paraId="2418CCC2" w14:textId="77777777" w:rsidR="00603D5B" w:rsidRDefault="00603D5B"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811324"/>
      <w:docPartObj>
        <w:docPartGallery w:val="Page Numbers (Bottom of Page)"/>
        <w:docPartUnique/>
      </w:docPartObj>
    </w:sdtPr>
    <w:sdtEndPr/>
    <w:sdtContent>
      <w:p w14:paraId="19F292A9" w14:textId="708D73B0" w:rsidR="00603D5B" w:rsidRPr="00311862" w:rsidRDefault="00603D5B" w:rsidP="00B847F0">
        <w:pPr>
          <w:pStyle w:val="Footer"/>
        </w:pPr>
        <w:r>
          <w:t xml:space="preserve">Policy and Procedures Manual | Vermont </w:t>
        </w:r>
        <w:r w:rsidRPr="00FE0D76">
          <w:t>Division</w:t>
        </w:r>
        <w:r>
          <w:t xml:space="preserve"> 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183DF4">
          <w:t>2</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60241" w14:textId="77777777" w:rsidR="00603D5B" w:rsidRDefault="00603D5B" w:rsidP="00B847F0">
      <w:r>
        <w:separator/>
      </w:r>
    </w:p>
  </w:footnote>
  <w:footnote w:type="continuationSeparator" w:id="0">
    <w:p w14:paraId="55864184" w14:textId="77777777" w:rsidR="00603D5B" w:rsidRDefault="00603D5B"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3455F" w14:textId="409E8012" w:rsidR="00603D5B" w:rsidRPr="006A3963" w:rsidRDefault="00EE2D8C" w:rsidP="009E5CF4">
    <w:pPr>
      <w:pStyle w:val="Header"/>
    </w:pPr>
    <w:fldSimple w:instr=" REF  ChapterNumber  \* MERGEFORMAT ">
      <w:r w:rsidR="00F328A1" w:rsidRPr="006A3963">
        <w:t>Chapter 1:</w:t>
      </w:r>
    </w:fldSimple>
    <w:r w:rsidR="00603D5B" w:rsidRPr="006A3963">
      <w:t xml:space="preserve"> </w:t>
    </w:r>
    <w:fldSimple w:instr=" REF ChapterTitle  \* MERGEFORMAT ">
      <w:r w:rsidR="00F328A1" w:rsidRPr="006A3963">
        <w:t>Eligibility</w:t>
      </w:r>
    </w:fldSimple>
  </w:p>
  <w:p w14:paraId="7D58F2E6" w14:textId="07F59726" w:rsidR="00603D5B" w:rsidRPr="00E66FFC" w:rsidRDefault="00603D5B" w:rsidP="009E5CF4">
    <w:pPr>
      <w:pStyle w:val="Header"/>
      <w:rPr>
        <w:rStyle w:val="Emphasis"/>
        <w:rFonts w:ascii="Franklin Gothic Book" w:hAnsi="Franklin Gothic Book"/>
        <w:iCs w:val="0"/>
        <w:color w:val="auto"/>
        <w:sz w:val="20"/>
        <w:szCs w:val="20"/>
      </w:rPr>
    </w:pPr>
    <w:r w:rsidRPr="006A3963">
      <w:rPr>
        <w:rStyle w:val="Emphasis"/>
        <w:rFonts w:ascii="Franklin Gothic Book" w:hAnsi="Franklin Gothic Book"/>
        <w:iCs w:val="0"/>
        <w:color w:val="auto"/>
        <w:sz w:val="20"/>
        <w:szCs w:val="20"/>
      </w:rPr>
      <w:t>Revised:</w:t>
    </w:r>
    <w:r w:rsidR="000F0C81">
      <w:rPr>
        <w:rStyle w:val="Emphasis"/>
        <w:rFonts w:ascii="Franklin Gothic Book" w:hAnsi="Franklin Gothic Book"/>
        <w:iCs w:val="0"/>
        <w:color w:val="auto"/>
        <w:sz w:val="20"/>
        <w:szCs w:val="20"/>
      </w:rPr>
      <w:t xml:space="preserve">  </w:t>
    </w:r>
    <w:r w:rsidR="000F0C81" w:rsidRPr="006A3963">
      <w:rPr>
        <w:rStyle w:val="Emphasis"/>
        <w:rFonts w:ascii="Franklin Gothic Medium" w:hAnsi="Franklin Gothic Medium"/>
        <w:bCs/>
        <w:iCs w:val="0"/>
        <w:color w:val="auto"/>
        <w:sz w:val="20"/>
        <w:szCs w:val="20"/>
      </w:rPr>
      <w:t>February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B9A4A" w14:textId="000E4A31" w:rsidR="00603D5B" w:rsidRDefault="00EE2D8C" w:rsidP="009E5CF4">
    <w:pPr>
      <w:pStyle w:val="Header"/>
    </w:pPr>
    <w:fldSimple w:instr=" REF  ChapterNumber  \* MERGEFORMAT ">
      <w:r w:rsidR="00F328A1" w:rsidRPr="00217CE9">
        <w:t>Chapter</w:t>
      </w:r>
      <w:r w:rsidR="00F328A1">
        <w:t xml:space="preserve"> 1:</w:t>
      </w:r>
    </w:fldSimple>
    <w:r w:rsidR="00603D5B">
      <w:t xml:space="preserve"> </w:t>
    </w:r>
    <w:fldSimple w:instr=" REF ChapterTitle  \* MERGEFORMAT ">
      <w:r w:rsidR="00F328A1">
        <w:t>Eligibility</w:t>
      </w:r>
    </w:fldSimple>
  </w:p>
  <w:p w14:paraId="279AC713" w14:textId="211DD596" w:rsidR="00603D5B" w:rsidRPr="00E66FFC" w:rsidRDefault="00603D5B" w:rsidP="009E5CF4">
    <w:pPr>
      <w:pStyle w:val="Header"/>
      <w:rPr>
        <w:rStyle w:val="Emphasis"/>
        <w:rFonts w:ascii="Franklin Gothic Book" w:hAnsi="Franklin Gothic Book"/>
        <w:iCs w:val="0"/>
        <w:color w:val="auto"/>
        <w:sz w:val="20"/>
        <w:szCs w:val="20"/>
      </w:rPr>
    </w:pPr>
    <w:r w:rsidRPr="00E66FFC">
      <w:rPr>
        <w:rStyle w:val="Emphasis"/>
        <w:rFonts w:ascii="Franklin Gothic Book" w:hAnsi="Franklin Gothic Book"/>
        <w:iCs w:val="0"/>
        <w:color w:val="auto"/>
        <w:sz w:val="20"/>
        <w:szCs w:val="20"/>
      </w:rPr>
      <w:t>Revised</w:t>
    </w:r>
    <w:r>
      <w:rPr>
        <w:rStyle w:val="Emphasis"/>
        <w:rFonts w:ascii="Franklin Gothic Book" w:hAnsi="Franklin Gothic Book"/>
        <w:iCs w:val="0"/>
        <w:color w:val="auto"/>
        <w:sz w:val="20"/>
        <w:szCs w:val="20"/>
      </w:rPr>
      <w:t xml:space="preserve">: </w:t>
    </w:r>
    <w:r w:rsidR="000F0C81">
      <w:t>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955D65"/>
    <w:multiLevelType w:val="multilevel"/>
    <w:tmpl w:val="95BCE464"/>
    <w:numStyleLink w:val="GuidanceBullets"/>
  </w:abstractNum>
  <w:abstractNum w:abstractNumId="7" w15:restartNumberingAfterBreak="0">
    <w:nsid w:val="076F60E0"/>
    <w:multiLevelType w:val="multilevel"/>
    <w:tmpl w:val="58E6F87E"/>
    <w:numStyleLink w:val="PolicyList"/>
  </w:abstractNum>
  <w:abstractNum w:abstractNumId="8" w15:restartNumberingAfterBreak="0">
    <w:nsid w:val="0CE674F9"/>
    <w:multiLevelType w:val="multilevel"/>
    <w:tmpl w:val="58E6F87E"/>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9" w15:restartNumberingAfterBreak="0">
    <w:nsid w:val="102D4024"/>
    <w:multiLevelType w:val="multilevel"/>
    <w:tmpl w:val="58E6F87E"/>
    <w:numStyleLink w:val="PolicyList"/>
  </w:abstractNum>
  <w:abstractNum w:abstractNumId="10" w15:restartNumberingAfterBreak="0">
    <w:nsid w:val="13084AA2"/>
    <w:multiLevelType w:val="multilevel"/>
    <w:tmpl w:val="58E6F87E"/>
    <w:numStyleLink w:val="PolicyList"/>
  </w:abstractNum>
  <w:abstractNum w:abstractNumId="11" w15:restartNumberingAfterBreak="0">
    <w:nsid w:val="18D54C7F"/>
    <w:multiLevelType w:val="multilevel"/>
    <w:tmpl w:val="58E6F87E"/>
    <w:numStyleLink w:val="PolicyList"/>
  </w:abstractNum>
  <w:abstractNum w:abstractNumId="12" w15:restartNumberingAfterBreak="0">
    <w:nsid w:val="1E542411"/>
    <w:multiLevelType w:val="multilevel"/>
    <w:tmpl w:val="95BCE464"/>
    <w:numStyleLink w:val="GuidanceBullets"/>
  </w:abstractNum>
  <w:abstractNum w:abstractNumId="13" w15:restartNumberingAfterBreak="0">
    <w:nsid w:val="29445911"/>
    <w:multiLevelType w:val="multilevel"/>
    <w:tmpl w:val="58E6F87E"/>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14" w15:restartNumberingAfterBreak="0">
    <w:nsid w:val="32384158"/>
    <w:multiLevelType w:val="multilevel"/>
    <w:tmpl w:val="95BCE464"/>
    <w:numStyleLink w:val="GuidanceBullets"/>
  </w:abstractNum>
  <w:abstractNum w:abstractNumId="15" w15:restartNumberingAfterBreak="0">
    <w:nsid w:val="34CF3668"/>
    <w:multiLevelType w:val="multilevel"/>
    <w:tmpl w:val="95BCE464"/>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16" w15:restartNumberingAfterBreak="0">
    <w:nsid w:val="35D67E11"/>
    <w:multiLevelType w:val="multilevel"/>
    <w:tmpl w:val="58E6F87E"/>
    <w:numStyleLink w:val="PolicyList"/>
  </w:abstractNum>
  <w:abstractNum w:abstractNumId="17" w15:restartNumberingAfterBreak="0">
    <w:nsid w:val="36773C79"/>
    <w:multiLevelType w:val="multilevel"/>
    <w:tmpl w:val="95BCE464"/>
    <w:numStyleLink w:val="GuidanceBullets"/>
  </w:abstractNum>
  <w:abstractNum w:abstractNumId="18" w15:restartNumberingAfterBreak="0">
    <w:nsid w:val="37975724"/>
    <w:multiLevelType w:val="multilevel"/>
    <w:tmpl w:val="58E6F87E"/>
    <w:numStyleLink w:val="PolicyList"/>
  </w:abstractNum>
  <w:abstractNum w:abstractNumId="19" w15:restartNumberingAfterBreak="0">
    <w:nsid w:val="396A6455"/>
    <w:multiLevelType w:val="multilevel"/>
    <w:tmpl w:val="95BCE464"/>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20" w15:restartNumberingAfterBreak="0">
    <w:nsid w:val="3F474FDE"/>
    <w:multiLevelType w:val="multilevel"/>
    <w:tmpl w:val="58E6F87E"/>
    <w:numStyleLink w:val="PolicyList"/>
  </w:abstractNum>
  <w:abstractNum w:abstractNumId="21" w15:restartNumberingAfterBreak="0">
    <w:nsid w:val="441E7D8E"/>
    <w:multiLevelType w:val="multilevel"/>
    <w:tmpl w:val="58E6F87E"/>
    <w:numStyleLink w:val="PolicyList"/>
  </w:abstractNum>
  <w:abstractNum w:abstractNumId="22" w15:restartNumberingAfterBreak="0">
    <w:nsid w:val="4436141D"/>
    <w:multiLevelType w:val="multilevel"/>
    <w:tmpl w:val="58E6F87E"/>
    <w:numStyleLink w:val="PolicyList"/>
  </w:abstractNum>
  <w:abstractNum w:abstractNumId="23" w15:restartNumberingAfterBreak="0">
    <w:nsid w:val="46421387"/>
    <w:multiLevelType w:val="multilevel"/>
    <w:tmpl w:val="58E6F87E"/>
    <w:numStyleLink w:val="PolicyList"/>
  </w:abstractNum>
  <w:abstractNum w:abstractNumId="24" w15:restartNumberingAfterBreak="0">
    <w:nsid w:val="47752409"/>
    <w:multiLevelType w:val="multilevel"/>
    <w:tmpl w:val="58E6F87E"/>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5" w15:restartNumberingAfterBreak="0">
    <w:nsid w:val="4A8476C0"/>
    <w:multiLevelType w:val="multilevel"/>
    <w:tmpl w:val="58E6F87E"/>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26" w15:restartNumberingAfterBreak="0">
    <w:nsid w:val="4C0B78DF"/>
    <w:multiLevelType w:val="multilevel"/>
    <w:tmpl w:val="58E6F87E"/>
    <w:numStyleLink w:val="PolicyList"/>
  </w:abstractNum>
  <w:abstractNum w:abstractNumId="27"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28" w15:restartNumberingAfterBreak="0">
    <w:nsid w:val="4EAE3DDD"/>
    <w:multiLevelType w:val="multilevel"/>
    <w:tmpl w:val="58E6F87E"/>
    <w:numStyleLink w:val="PolicyList"/>
  </w:abstractNum>
  <w:abstractNum w:abstractNumId="29" w15:restartNumberingAfterBreak="0">
    <w:nsid w:val="4F096119"/>
    <w:multiLevelType w:val="hybridMultilevel"/>
    <w:tmpl w:val="8B7C966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FE4955"/>
    <w:multiLevelType w:val="multilevel"/>
    <w:tmpl w:val="58E6F87E"/>
    <w:numStyleLink w:val="PolicyList"/>
  </w:abstractNum>
  <w:abstractNum w:abstractNumId="31" w15:restartNumberingAfterBreak="0">
    <w:nsid w:val="595445EF"/>
    <w:multiLevelType w:val="hybridMultilevel"/>
    <w:tmpl w:val="46F81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EBD4579"/>
    <w:multiLevelType w:val="multilevel"/>
    <w:tmpl w:val="58E6F87E"/>
    <w:numStyleLink w:val="PolicyList"/>
  </w:abstractNum>
  <w:abstractNum w:abstractNumId="33" w15:restartNumberingAfterBreak="0">
    <w:nsid w:val="5EE259D6"/>
    <w:multiLevelType w:val="multilevel"/>
    <w:tmpl w:val="58E6F87E"/>
    <w:numStyleLink w:val="PolicyList"/>
  </w:abstractNum>
  <w:abstractNum w:abstractNumId="34" w15:restartNumberingAfterBreak="0">
    <w:nsid w:val="607A705A"/>
    <w:multiLevelType w:val="multilevel"/>
    <w:tmpl w:val="95BCE464"/>
    <w:numStyleLink w:val="GuidanceBullets"/>
  </w:abstractNum>
  <w:abstractNum w:abstractNumId="35" w15:restartNumberingAfterBreak="0">
    <w:nsid w:val="639D4312"/>
    <w:multiLevelType w:val="multilevel"/>
    <w:tmpl w:val="9884A858"/>
    <w:lvl w:ilvl="0">
      <w:start w:val="1"/>
      <w:numFmt w:val="upperRoman"/>
      <w:pStyle w:val="Heading1"/>
      <w:lvlText w:val="Section %1."/>
      <w:lvlJc w:val="left"/>
      <w:pPr>
        <w:tabs>
          <w:tab w:val="num" w:pos="1440"/>
        </w:tabs>
        <w:ind w:left="1440" w:hanging="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72"/>
        </w:tabs>
        <w:ind w:left="216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36" w15:restartNumberingAfterBreak="0">
    <w:nsid w:val="659D72AA"/>
    <w:multiLevelType w:val="multilevel"/>
    <w:tmpl w:val="58E6F87E"/>
    <w:numStyleLink w:val="PolicyList"/>
  </w:abstractNum>
  <w:abstractNum w:abstractNumId="37" w15:restartNumberingAfterBreak="0">
    <w:nsid w:val="65E01B91"/>
    <w:multiLevelType w:val="multilevel"/>
    <w:tmpl w:val="58E6F87E"/>
    <w:numStyleLink w:val="PolicyList"/>
  </w:abstractNum>
  <w:abstractNum w:abstractNumId="38" w15:restartNumberingAfterBreak="0">
    <w:nsid w:val="6A825C4F"/>
    <w:multiLevelType w:val="multilevel"/>
    <w:tmpl w:val="95BCE464"/>
    <w:numStyleLink w:val="GuidanceBullets"/>
  </w:abstractNum>
  <w:abstractNum w:abstractNumId="39" w15:restartNumberingAfterBreak="0">
    <w:nsid w:val="6B3A7042"/>
    <w:multiLevelType w:val="multilevel"/>
    <w:tmpl w:val="58E6F87E"/>
    <w:numStyleLink w:val="PolicyList"/>
  </w:abstractNum>
  <w:abstractNum w:abstractNumId="40" w15:restartNumberingAfterBreak="0">
    <w:nsid w:val="6C164425"/>
    <w:multiLevelType w:val="multilevel"/>
    <w:tmpl w:val="58E6F87E"/>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41" w15:restartNumberingAfterBreak="0">
    <w:nsid w:val="6DB634AC"/>
    <w:multiLevelType w:val="multilevel"/>
    <w:tmpl w:val="58E6F87E"/>
    <w:styleLink w:val="PolicyList"/>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42" w15:restartNumberingAfterBreak="0">
    <w:nsid w:val="72597F20"/>
    <w:multiLevelType w:val="multilevel"/>
    <w:tmpl w:val="58E6F87E"/>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43" w15:restartNumberingAfterBreak="0">
    <w:nsid w:val="778F79CD"/>
    <w:multiLevelType w:val="multilevel"/>
    <w:tmpl w:val="58E6F87E"/>
    <w:lvl w:ilvl="0">
      <w:start w:val="1"/>
      <w:numFmt w:val="upperRoman"/>
      <w:lvlText w:val="Section %1."/>
      <w:lvlJc w:val="left"/>
      <w:pPr>
        <w:tabs>
          <w:tab w:val="num" w:pos="1440"/>
        </w:tabs>
        <w:ind w:left="1440" w:hanging="1440"/>
      </w:pPr>
      <w:rPr>
        <w:rFonts w:ascii="Franklin Gothic Medium" w:hAnsi="Franklin Gothic Medium" w:hint="default"/>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44" w15:restartNumberingAfterBreak="0">
    <w:nsid w:val="784D617D"/>
    <w:multiLevelType w:val="multilevel"/>
    <w:tmpl w:val="58E6F87E"/>
    <w:numStyleLink w:val="PolicyList"/>
  </w:abstractNum>
  <w:abstractNum w:abstractNumId="45" w15:restartNumberingAfterBreak="0">
    <w:nsid w:val="7AB70838"/>
    <w:multiLevelType w:val="multilevel"/>
    <w:tmpl w:val="58E6F87E"/>
    <w:numStyleLink w:val="PolicyList"/>
  </w:abstractNum>
  <w:abstractNum w:abstractNumId="46" w15:restartNumberingAfterBreak="0">
    <w:nsid w:val="7AB715A6"/>
    <w:multiLevelType w:val="multilevel"/>
    <w:tmpl w:val="58E6F87E"/>
    <w:numStyleLink w:val="PolicyList"/>
  </w:abstractNum>
  <w:abstractNum w:abstractNumId="47" w15:restartNumberingAfterBreak="0">
    <w:nsid w:val="7AE156AC"/>
    <w:multiLevelType w:val="multilevel"/>
    <w:tmpl w:val="95BCE464"/>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7"/>
  </w:num>
  <w:num w:numId="8">
    <w:abstractNumId w:val="35"/>
  </w:num>
  <w:num w:numId="9">
    <w:abstractNumId w:val="41"/>
  </w:num>
  <w:num w:numId="10">
    <w:abstractNumId w:val="12"/>
  </w:num>
  <w:num w:numId="11">
    <w:abstractNumId w:val="14"/>
  </w:num>
  <w:num w:numId="12">
    <w:abstractNumId w:val="33"/>
  </w:num>
  <w:num w:numId="13">
    <w:abstractNumId w:val="6"/>
  </w:num>
  <w:num w:numId="14">
    <w:abstractNumId w:val="34"/>
  </w:num>
  <w:num w:numId="15">
    <w:abstractNumId w:val="20"/>
  </w:num>
  <w:num w:numId="16">
    <w:abstractNumId w:val="36"/>
  </w:num>
  <w:num w:numId="17">
    <w:abstractNumId w:val="8"/>
  </w:num>
  <w:num w:numId="18">
    <w:abstractNumId w:val="10"/>
  </w:num>
  <w:num w:numId="19">
    <w:abstractNumId w:val="28"/>
    <w:lvlOverride w:ilvl="0">
      <w:lvl w:ilvl="0">
        <w:start w:val="1"/>
        <w:numFmt w:val="upperRoman"/>
        <w:lvlText w:val="Section %1."/>
        <w:lvlJc w:val="left"/>
        <w:pPr>
          <w:tabs>
            <w:tab w:val="num" w:pos="1440"/>
          </w:tabs>
          <w:ind w:left="1440" w:hanging="1440"/>
        </w:pPr>
        <w:rPr>
          <w:rFonts w:ascii="Franklin Gothic Medium" w:hAnsi="Franklin Gothic Medium" w:hint="default"/>
          <w:sz w:val="28"/>
        </w:rPr>
      </w:lvl>
    </w:lvlOverride>
    <w:lvlOverride w:ilvl="1">
      <w:lvl w:ilvl="1">
        <w:start w:val="1"/>
        <w:numFmt w:val="upperLetter"/>
        <w:lvlText w:val="%2."/>
        <w:lvlJc w:val="left"/>
        <w:pPr>
          <w:tabs>
            <w:tab w:val="num" w:pos="360"/>
          </w:tabs>
          <w:ind w:left="360" w:hanging="360"/>
        </w:pPr>
        <w:rPr>
          <w:rFonts w:hint="default"/>
        </w:rPr>
      </w:lvl>
    </w:lvlOverride>
    <w:lvlOverride w:ilvl="2">
      <w:lvl w:ilvl="2">
        <w:start w:val="1"/>
        <w:numFmt w:val="decimal"/>
        <w:lvlText w:val="%3."/>
        <w:lvlJc w:val="left"/>
        <w:pPr>
          <w:tabs>
            <w:tab w:val="num" w:pos="720"/>
          </w:tabs>
          <w:ind w:left="720" w:hanging="360"/>
        </w:pPr>
        <w:rPr>
          <w:rFonts w:hint="default"/>
        </w:rPr>
      </w:lvl>
    </w:lvlOverride>
    <w:lvlOverride w:ilvl="3">
      <w:lvl w:ilvl="3">
        <w:start w:val="1"/>
        <w:numFmt w:val="lowerLetter"/>
        <w:lvlText w:val="%4)"/>
        <w:lvlJc w:val="left"/>
        <w:pPr>
          <w:tabs>
            <w:tab w:val="num" w:pos="1080"/>
          </w:tabs>
          <w:ind w:left="1080" w:hanging="360"/>
        </w:pPr>
        <w:rPr>
          <w:rFonts w:hint="default"/>
        </w:rPr>
      </w:lvl>
    </w:lvlOverride>
    <w:lvlOverride w:ilvl="4">
      <w:lvl w:ilvl="4">
        <w:start w:val="1"/>
        <w:numFmt w:val="lowerRoman"/>
        <w:lvlText w:val="(%5)"/>
        <w:lvlJc w:val="left"/>
        <w:pPr>
          <w:tabs>
            <w:tab w:val="num" w:pos="1440"/>
          </w:tabs>
          <w:ind w:left="1440" w:hanging="360"/>
        </w:pPr>
        <w:rPr>
          <w:rFonts w:hint="default"/>
        </w:rPr>
      </w:lvl>
    </w:lvlOverride>
    <w:lvlOverride w:ilvl="5">
      <w:lvl w:ilvl="5">
        <w:start w:val="1"/>
        <w:numFmt w:val="lowerLetter"/>
        <w:lvlText w:val="(%6)"/>
        <w:lvlJc w:val="left"/>
        <w:pPr>
          <w:tabs>
            <w:tab w:val="num" w:pos="1872"/>
          </w:tabs>
          <w:ind w:left="1800" w:hanging="360"/>
        </w:pPr>
        <w:rPr>
          <w:rFonts w:hint="default"/>
        </w:rPr>
      </w:lvl>
    </w:lvlOverride>
    <w:lvlOverride w:ilvl="6">
      <w:lvl w:ilvl="6">
        <w:start w:val="1"/>
        <w:numFmt w:val="lowerRoman"/>
        <w:lvlText w:val="(%7)"/>
        <w:lvlJc w:val="left"/>
        <w:pPr>
          <w:tabs>
            <w:tab w:val="num" w:pos="2232"/>
          </w:tabs>
          <w:ind w:left="2520" w:hanging="360"/>
        </w:pPr>
        <w:rPr>
          <w:rFonts w:hint="default"/>
        </w:rPr>
      </w:lvl>
    </w:lvlOverride>
    <w:lvlOverride w:ilvl="7">
      <w:lvl w:ilvl="7">
        <w:start w:val="1"/>
        <w:numFmt w:val="lowerLetter"/>
        <w:lvlText w:val="(%8)"/>
        <w:lvlJc w:val="left"/>
        <w:pPr>
          <w:tabs>
            <w:tab w:val="num" w:pos="2592"/>
          </w:tabs>
          <w:ind w:left="2880" w:hanging="360"/>
        </w:pPr>
        <w:rPr>
          <w:rFonts w:hint="default"/>
        </w:rPr>
      </w:lvl>
    </w:lvlOverride>
    <w:lvlOverride w:ilvl="8">
      <w:lvl w:ilvl="8">
        <w:start w:val="1"/>
        <w:numFmt w:val="lowerRoman"/>
        <w:lvlText w:val="(%9)"/>
        <w:lvlJc w:val="left"/>
        <w:pPr>
          <w:tabs>
            <w:tab w:val="num" w:pos="2952"/>
          </w:tabs>
          <w:ind w:left="3240" w:hanging="360"/>
        </w:pPr>
        <w:rPr>
          <w:rFonts w:hint="default"/>
        </w:rPr>
      </w:lvl>
    </w:lvlOverride>
  </w:num>
  <w:num w:numId="20">
    <w:abstractNumId w:val="29"/>
  </w:num>
  <w:num w:numId="21">
    <w:abstractNumId w:val="37"/>
  </w:num>
  <w:num w:numId="22">
    <w:abstractNumId w:val="45"/>
  </w:num>
  <w:num w:numId="23">
    <w:abstractNumId w:val="7"/>
  </w:num>
  <w:num w:numId="24">
    <w:abstractNumId w:val="26"/>
  </w:num>
  <w:num w:numId="25">
    <w:abstractNumId w:val="9"/>
  </w:num>
  <w:num w:numId="26">
    <w:abstractNumId w:val="38"/>
  </w:num>
  <w:num w:numId="27">
    <w:abstractNumId w:val="44"/>
  </w:num>
  <w:num w:numId="28">
    <w:abstractNumId w:val="42"/>
  </w:num>
  <w:num w:numId="29">
    <w:abstractNumId w:val="16"/>
  </w:num>
  <w:num w:numId="30">
    <w:abstractNumId w:val="25"/>
  </w:num>
  <w:num w:numId="31">
    <w:abstractNumId w:val="39"/>
  </w:num>
  <w:num w:numId="32">
    <w:abstractNumId w:val="21"/>
  </w:num>
  <w:num w:numId="33">
    <w:abstractNumId w:val="13"/>
  </w:num>
  <w:num w:numId="34">
    <w:abstractNumId w:val="31"/>
  </w:num>
  <w:num w:numId="35">
    <w:abstractNumId w:val="17"/>
  </w:num>
  <w:num w:numId="36">
    <w:abstractNumId w:val="47"/>
  </w:num>
  <w:num w:numId="37">
    <w:abstractNumId w:val="19"/>
  </w:num>
  <w:num w:numId="38">
    <w:abstractNumId w:val="15"/>
  </w:num>
  <w:num w:numId="39">
    <w:abstractNumId w:val="40"/>
  </w:num>
  <w:num w:numId="40">
    <w:abstractNumId w:val="43"/>
  </w:num>
  <w:num w:numId="41">
    <w:abstractNumId w:val="18"/>
  </w:num>
  <w:num w:numId="42">
    <w:abstractNumId w:val="23"/>
  </w:num>
  <w:num w:numId="43">
    <w:abstractNumId w:val="32"/>
  </w:num>
  <w:num w:numId="44">
    <w:abstractNumId w:val="11"/>
  </w:num>
  <w:num w:numId="45">
    <w:abstractNumId w:val="30"/>
  </w:num>
  <w:num w:numId="46">
    <w:abstractNumId w:val="28"/>
    <w:lvlOverride w:ilvl="0">
      <w:lvl w:ilvl="0">
        <w:start w:val="1"/>
        <w:numFmt w:val="upperRoman"/>
        <w:lvlText w:val="Section %1."/>
        <w:lvlJc w:val="left"/>
        <w:pPr>
          <w:tabs>
            <w:tab w:val="num" w:pos="1440"/>
          </w:tabs>
          <w:ind w:left="1440" w:hanging="1440"/>
        </w:pPr>
        <w:rPr>
          <w:rFonts w:ascii="Franklin Gothic Medium" w:hAnsi="Franklin Gothic Medium" w:hint="default"/>
          <w:sz w:val="28"/>
        </w:rPr>
      </w:lvl>
    </w:lvlOverride>
  </w:num>
  <w:num w:numId="47">
    <w:abstractNumId w:val="22"/>
  </w:num>
  <w:num w:numId="48">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4"/>
  <w:defaultTabStop w:val="720"/>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A9"/>
    <w:rsid w:val="00000F6A"/>
    <w:rsid w:val="000024E4"/>
    <w:rsid w:val="00002D4B"/>
    <w:rsid w:val="00005A9F"/>
    <w:rsid w:val="00014130"/>
    <w:rsid w:val="00022B31"/>
    <w:rsid w:val="00025E4E"/>
    <w:rsid w:val="000272D0"/>
    <w:rsid w:val="00027382"/>
    <w:rsid w:val="00030204"/>
    <w:rsid w:val="000379F8"/>
    <w:rsid w:val="0007606A"/>
    <w:rsid w:val="00082EE2"/>
    <w:rsid w:val="00083C65"/>
    <w:rsid w:val="00084088"/>
    <w:rsid w:val="00094D89"/>
    <w:rsid w:val="000A4A4B"/>
    <w:rsid w:val="000C12EA"/>
    <w:rsid w:val="000C6124"/>
    <w:rsid w:val="000D3BC7"/>
    <w:rsid w:val="000D63E3"/>
    <w:rsid w:val="000D6895"/>
    <w:rsid w:val="000F0C81"/>
    <w:rsid w:val="000F4A20"/>
    <w:rsid w:val="00124DCF"/>
    <w:rsid w:val="00126665"/>
    <w:rsid w:val="0013296C"/>
    <w:rsid w:val="00141542"/>
    <w:rsid w:val="00147BB3"/>
    <w:rsid w:val="00152EFC"/>
    <w:rsid w:val="00166C77"/>
    <w:rsid w:val="001702DA"/>
    <w:rsid w:val="00183DF4"/>
    <w:rsid w:val="001C05EC"/>
    <w:rsid w:val="001C35CC"/>
    <w:rsid w:val="001C6270"/>
    <w:rsid w:val="001D06B2"/>
    <w:rsid w:val="001D14BC"/>
    <w:rsid w:val="001D3301"/>
    <w:rsid w:val="001F20E4"/>
    <w:rsid w:val="001F4B13"/>
    <w:rsid w:val="00201B5E"/>
    <w:rsid w:val="00214D7D"/>
    <w:rsid w:val="00217CE9"/>
    <w:rsid w:val="00220703"/>
    <w:rsid w:val="00224852"/>
    <w:rsid w:val="002255AD"/>
    <w:rsid w:val="002518F9"/>
    <w:rsid w:val="00257406"/>
    <w:rsid w:val="0027370E"/>
    <w:rsid w:val="002850DC"/>
    <w:rsid w:val="002A0D33"/>
    <w:rsid w:val="002A7674"/>
    <w:rsid w:val="002B019C"/>
    <w:rsid w:val="002B2DE1"/>
    <w:rsid w:val="002D2DC4"/>
    <w:rsid w:val="002E5269"/>
    <w:rsid w:val="002F0491"/>
    <w:rsid w:val="002F628C"/>
    <w:rsid w:val="00307822"/>
    <w:rsid w:val="00311862"/>
    <w:rsid w:val="0032251B"/>
    <w:rsid w:val="00333498"/>
    <w:rsid w:val="00334D19"/>
    <w:rsid w:val="00334DFD"/>
    <w:rsid w:val="00340C6E"/>
    <w:rsid w:val="00356EF7"/>
    <w:rsid w:val="00361B6C"/>
    <w:rsid w:val="0036205E"/>
    <w:rsid w:val="0037675D"/>
    <w:rsid w:val="00396789"/>
    <w:rsid w:val="003A58E4"/>
    <w:rsid w:val="003B2562"/>
    <w:rsid w:val="003B5CC7"/>
    <w:rsid w:val="003C39DB"/>
    <w:rsid w:val="003E78CD"/>
    <w:rsid w:val="003F1E12"/>
    <w:rsid w:val="003F52EB"/>
    <w:rsid w:val="004033E8"/>
    <w:rsid w:val="00424CE7"/>
    <w:rsid w:val="00437CD0"/>
    <w:rsid w:val="004435A3"/>
    <w:rsid w:val="00444D16"/>
    <w:rsid w:val="00450213"/>
    <w:rsid w:val="004557BA"/>
    <w:rsid w:val="00463852"/>
    <w:rsid w:val="00467ABE"/>
    <w:rsid w:val="00497E1E"/>
    <w:rsid w:val="004A586E"/>
    <w:rsid w:val="004A777D"/>
    <w:rsid w:val="004B39E3"/>
    <w:rsid w:val="004B75E2"/>
    <w:rsid w:val="004C4B1F"/>
    <w:rsid w:val="004C7533"/>
    <w:rsid w:val="004D0E60"/>
    <w:rsid w:val="004E766E"/>
    <w:rsid w:val="004F32C1"/>
    <w:rsid w:val="00531CA5"/>
    <w:rsid w:val="00532141"/>
    <w:rsid w:val="00542BBB"/>
    <w:rsid w:val="00550F23"/>
    <w:rsid w:val="00553B19"/>
    <w:rsid w:val="005710F1"/>
    <w:rsid w:val="00575769"/>
    <w:rsid w:val="00583BF4"/>
    <w:rsid w:val="0059376F"/>
    <w:rsid w:val="005A754A"/>
    <w:rsid w:val="005B389F"/>
    <w:rsid w:val="005C0D57"/>
    <w:rsid w:val="005C619A"/>
    <w:rsid w:val="005F4570"/>
    <w:rsid w:val="00603D5B"/>
    <w:rsid w:val="006202DD"/>
    <w:rsid w:val="00624260"/>
    <w:rsid w:val="00624A0C"/>
    <w:rsid w:val="00637208"/>
    <w:rsid w:val="00640231"/>
    <w:rsid w:val="006417F4"/>
    <w:rsid w:val="00654EE4"/>
    <w:rsid w:val="006575E9"/>
    <w:rsid w:val="0066230F"/>
    <w:rsid w:val="00664FA9"/>
    <w:rsid w:val="00670778"/>
    <w:rsid w:val="00674E4F"/>
    <w:rsid w:val="00677F3C"/>
    <w:rsid w:val="00677FF8"/>
    <w:rsid w:val="00685DE7"/>
    <w:rsid w:val="00697FF7"/>
    <w:rsid w:val="006A05B5"/>
    <w:rsid w:val="006A3963"/>
    <w:rsid w:val="006B2108"/>
    <w:rsid w:val="006B5B53"/>
    <w:rsid w:val="006C1BE4"/>
    <w:rsid w:val="006C2F9E"/>
    <w:rsid w:val="006C2FF4"/>
    <w:rsid w:val="006C4BCE"/>
    <w:rsid w:val="006D255A"/>
    <w:rsid w:val="006E6A03"/>
    <w:rsid w:val="006E6AB2"/>
    <w:rsid w:val="006F4B06"/>
    <w:rsid w:val="00702A3B"/>
    <w:rsid w:val="007107C3"/>
    <w:rsid w:val="00714417"/>
    <w:rsid w:val="00722E3B"/>
    <w:rsid w:val="00731171"/>
    <w:rsid w:val="00733637"/>
    <w:rsid w:val="007350C0"/>
    <w:rsid w:val="00743206"/>
    <w:rsid w:val="007609E8"/>
    <w:rsid w:val="0076451B"/>
    <w:rsid w:val="0077651F"/>
    <w:rsid w:val="00776F82"/>
    <w:rsid w:val="00781D70"/>
    <w:rsid w:val="007854A9"/>
    <w:rsid w:val="00786C3D"/>
    <w:rsid w:val="00791C64"/>
    <w:rsid w:val="00794FF0"/>
    <w:rsid w:val="007A76ED"/>
    <w:rsid w:val="007B53D5"/>
    <w:rsid w:val="007B53FA"/>
    <w:rsid w:val="007C321E"/>
    <w:rsid w:val="007C3265"/>
    <w:rsid w:val="007D69D1"/>
    <w:rsid w:val="00804ACA"/>
    <w:rsid w:val="0081367E"/>
    <w:rsid w:val="00825B71"/>
    <w:rsid w:val="00846928"/>
    <w:rsid w:val="008469AE"/>
    <w:rsid w:val="008474D9"/>
    <w:rsid w:val="00854747"/>
    <w:rsid w:val="00866E1D"/>
    <w:rsid w:val="008A34F5"/>
    <w:rsid w:val="008B699B"/>
    <w:rsid w:val="008D67E8"/>
    <w:rsid w:val="008D6AD9"/>
    <w:rsid w:val="008D6B22"/>
    <w:rsid w:val="008E5279"/>
    <w:rsid w:val="008F1A05"/>
    <w:rsid w:val="008F4D6B"/>
    <w:rsid w:val="00901446"/>
    <w:rsid w:val="00921004"/>
    <w:rsid w:val="00922DC6"/>
    <w:rsid w:val="00923F84"/>
    <w:rsid w:val="0093403D"/>
    <w:rsid w:val="00934761"/>
    <w:rsid w:val="00945AAE"/>
    <w:rsid w:val="00951B51"/>
    <w:rsid w:val="0097649B"/>
    <w:rsid w:val="00976E98"/>
    <w:rsid w:val="009854BA"/>
    <w:rsid w:val="0098781A"/>
    <w:rsid w:val="009C17AB"/>
    <w:rsid w:val="009E1166"/>
    <w:rsid w:val="009E5CF4"/>
    <w:rsid w:val="00A01FF8"/>
    <w:rsid w:val="00A02C83"/>
    <w:rsid w:val="00A11E7B"/>
    <w:rsid w:val="00A2476F"/>
    <w:rsid w:val="00A2684A"/>
    <w:rsid w:val="00A32ABB"/>
    <w:rsid w:val="00A34D59"/>
    <w:rsid w:val="00A36337"/>
    <w:rsid w:val="00A37ABA"/>
    <w:rsid w:val="00A4297C"/>
    <w:rsid w:val="00A4371E"/>
    <w:rsid w:val="00A67426"/>
    <w:rsid w:val="00A82124"/>
    <w:rsid w:val="00A9679E"/>
    <w:rsid w:val="00AA54D2"/>
    <w:rsid w:val="00AA650A"/>
    <w:rsid w:val="00AD204A"/>
    <w:rsid w:val="00AD2FAE"/>
    <w:rsid w:val="00AF7AFE"/>
    <w:rsid w:val="00B034DF"/>
    <w:rsid w:val="00B04642"/>
    <w:rsid w:val="00B20CDA"/>
    <w:rsid w:val="00B847F0"/>
    <w:rsid w:val="00B90392"/>
    <w:rsid w:val="00B915E9"/>
    <w:rsid w:val="00B92EE2"/>
    <w:rsid w:val="00BA1213"/>
    <w:rsid w:val="00BC302A"/>
    <w:rsid w:val="00BC3C54"/>
    <w:rsid w:val="00BC5122"/>
    <w:rsid w:val="00BD75D4"/>
    <w:rsid w:val="00BE6984"/>
    <w:rsid w:val="00BF5AFE"/>
    <w:rsid w:val="00C010C6"/>
    <w:rsid w:val="00C010F1"/>
    <w:rsid w:val="00C1032E"/>
    <w:rsid w:val="00C42475"/>
    <w:rsid w:val="00C431F4"/>
    <w:rsid w:val="00C618C5"/>
    <w:rsid w:val="00C67F83"/>
    <w:rsid w:val="00C7040D"/>
    <w:rsid w:val="00C87EEE"/>
    <w:rsid w:val="00C956FE"/>
    <w:rsid w:val="00CA2C62"/>
    <w:rsid w:val="00CB1695"/>
    <w:rsid w:val="00CB58A9"/>
    <w:rsid w:val="00CC184E"/>
    <w:rsid w:val="00CC3D3E"/>
    <w:rsid w:val="00CC6127"/>
    <w:rsid w:val="00CF0135"/>
    <w:rsid w:val="00CF77C1"/>
    <w:rsid w:val="00D045C9"/>
    <w:rsid w:val="00D064E2"/>
    <w:rsid w:val="00D1380D"/>
    <w:rsid w:val="00D3323A"/>
    <w:rsid w:val="00D468DC"/>
    <w:rsid w:val="00D46D80"/>
    <w:rsid w:val="00D50149"/>
    <w:rsid w:val="00D515EE"/>
    <w:rsid w:val="00D66F59"/>
    <w:rsid w:val="00D870F5"/>
    <w:rsid w:val="00D9591F"/>
    <w:rsid w:val="00DA3A86"/>
    <w:rsid w:val="00DA7751"/>
    <w:rsid w:val="00DE3464"/>
    <w:rsid w:val="00DE3F70"/>
    <w:rsid w:val="00DE4A95"/>
    <w:rsid w:val="00DE6AFB"/>
    <w:rsid w:val="00DF5791"/>
    <w:rsid w:val="00E01129"/>
    <w:rsid w:val="00E02D5A"/>
    <w:rsid w:val="00E05D7F"/>
    <w:rsid w:val="00E1247A"/>
    <w:rsid w:val="00E12E7B"/>
    <w:rsid w:val="00E13E4B"/>
    <w:rsid w:val="00E31D71"/>
    <w:rsid w:val="00E40002"/>
    <w:rsid w:val="00E5568F"/>
    <w:rsid w:val="00E60676"/>
    <w:rsid w:val="00E66FFC"/>
    <w:rsid w:val="00E75BA4"/>
    <w:rsid w:val="00E858EB"/>
    <w:rsid w:val="00E85B28"/>
    <w:rsid w:val="00E92F91"/>
    <w:rsid w:val="00EB0F2B"/>
    <w:rsid w:val="00EB2056"/>
    <w:rsid w:val="00EB3F9F"/>
    <w:rsid w:val="00ED4690"/>
    <w:rsid w:val="00ED5A4E"/>
    <w:rsid w:val="00EE2D8C"/>
    <w:rsid w:val="00EE6E8A"/>
    <w:rsid w:val="00F0376A"/>
    <w:rsid w:val="00F24F2D"/>
    <w:rsid w:val="00F273B4"/>
    <w:rsid w:val="00F328A1"/>
    <w:rsid w:val="00F53EE7"/>
    <w:rsid w:val="00F67ACB"/>
    <w:rsid w:val="00F70DA8"/>
    <w:rsid w:val="00F733E6"/>
    <w:rsid w:val="00F7569E"/>
    <w:rsid w:val="00F861E5"/>
    <w:rsid w:val="00F91989"/>
    <w:rsid w:val="00F96B6B"/>
    <w:rsid w:val="00FA1347"/>
    <w:rsid w:val="00FA4F7A"/>
    <w:rsid w:val="00FA7CA6"/>
    <w:rsid w:val="00FB3429"/>
    <w:rsid w:val="00FB74F3"/>
    <w:rsid w:val="00FC078E"/>
    <w:rsid w:val="00FC2CB7"/>
    <w:rsid w:val="00FD1C1B"/>
    <w:rsid w:val="00FE0D76"/>
    <w:rsid w:val="00FF4181"/>
    <w:rsid w:val="00FF750D"/>
    <w:rsid w:val="00FF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F170C94"/>
  <w15:docId w15:val="{D8AC3D14-6F74-481C-8FD0-9F9928C2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06"/>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17CE9"/>
    <w:pPr>
      <w:keepNext/>
      <w:keepLines/>
      <w:numPr>
        <w:numId w:val="8"/>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EB2056"/>
    <w:pPr>
      <w:keepNext/>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EB2056"/>
    <w:pPr>
      <w:keepNext/>
      <w:shd w:val="clear" w:color="auto" w:fill="FFFFFF" w:themeFill="background1"/>
      <w:spacing w:before="360"/>
      <w:ind w:left="2520" w:hanging="108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8D6AD9"/>
    <w:pPr>
      <w:keepNext/>
      <w:pBdr>
        <w:right w:val="single" w:sz="24" w:space="4" w:color="799DD1"/>
      </w:pBdr>
      <w:spacing w:before="240"/>
      <w:ind w:left="14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BF5AF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BF5AF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BF5AF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F5AF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BF5AF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CE9"/>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EB2056"/>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EB2056"/>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8D6AD9"/>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5A754A"/>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5A754A"/>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5A754A"/>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5A754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754A"/>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AD204A"/>
    <w:rPr>
      <w:rFonts w:ascii="Franklin Gothic Demi" w:hAnsi="Franklin Gothic Demi"/>
      <w:iCs/>
      <w:color w:val="335B95"/>
    </w:rPr>
  </w:style>
  <w:style w:type="paragraph" w:styleId="BalloonText">
    <w:name w:val="Balloon Text"/>
    <w:basedOn w:val="Normal"/>
    <w:link w:val="BalloonTextChar"/>
    <w:uiPriority w:val="99"/>
    <w:semiHidden/>
    <w:unhideWhenUsed/>
    <w:rsid w:val="00F24F2D"/>
    <w:rPr>
      <w:rFonts w:ascii="Tahoma" w:hAnsi="Tahoma" w:cs="Tahoma"/>
      <w:sz w:val="16"/>
      <w:szCs w:val="16"/>
    </w:rPr>
  </w:style>
  <w:style w:type="character" w:customStyle="1" w:styleId="BalloonTextChar">
    <w:name w:val="Balloon Text Char"/>
    <w:basedOn w:val="DefaultParagraphFont"/>
    <w:link w:val="BalloonText"/>
    <w:uiPriority w:val="99"/>
    <w:semiHidden/>
    <w:rsid w:val="00F24F2D"/>
    <w:rPr>
      <w:rFonts w:ascii="Tahoma" w:hAnsi="Tahoma" w:cs="Tahoma"/>
      <w:sz w:val="16"/>
      <w:szCs w:val="16"/>
    </w:rPr>
  </w:style>
  <w:style w:type="paragraph" w:styleId="ListParagraph">
    <w:name w:val="List Paragraph"/>
    <w:basedOn w:val="BodyText"/>
    <w:uiPriority w:val="2"/>
    <w:qFormat/>
    <w:rsid w:val="004A586E"/>
    <w:pPr>
      <w:ind w:left="720"/>
      <w:contextualSpacing/>
    </w:pPr>
  </w:style>
  <w:style w:type="paragraph" w:styleId="Title">
    <w:name w:val="Title"/>
    <w:basedOn w:val="Normal"/>
    <w:next w:val="Normal"/>
    <w:link w:val="TitleChar"/>
    <w:qFormat/>
    <w:rsid w:val="006F4B06"/>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5A754A"/>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59376F"/>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59376F"/>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59376F"/>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59376F"/>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825B71"/>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2518F9"/>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2518F9"/>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2518F9"/>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B847F0"/>
    <w:rPr>
      <w:color w:val="5F5F5F" w:themeColor="hyperlink"/>
      <w:u w:val="single"/>
    </w:rPr>
  </w:style>
  <w:style w:type="paragraph" w:styleId="NoSpacing">
    <w:name w:val="No Spacing"/>
    <w:uiPriority w:val="1"/>
    <w:semiHidden/>
    <w:qFormat/>
    <w:rsid w:val="00B847F0"/>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B8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A586E"/>
    <w:pPr>
      <w:spacing w:before="240"/>
    </w:pPr>
  </w:style>
  <w:style w:type="character" w:customStyle="1" w:styleId="BodyTextChar">
    <w:name w:val="Body Text Char"/>
    <w:basedOn w:val="DefaultParagraphFont"/>
    <w:link w:val="BodyText"/>
    <w:uiPriority w:val="1"/>
    <w:rsid w:val="005A754A"/>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6C4BCE"/>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5A754A"/>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EB2056"/>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EB2056"/>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D468DC"/>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8A34F5"/>
    <w:rPr>
      <w:b/>
      <w:bCs/>
      <w:i/>
      <w:iCs/>
      <w:color w:val="DDDDDD" w:themeColor="accent1"/>
    </w:rPr>
  </w:style>
  <w:style w:type="paragraph" w:styleId="ListBullet2">
    <w:name w:val="List Bullet 2"/>
    <w:basedOn w:val="Normal"/>
    <w:uiPriority w:val="99"/>
    <w:semiHidden/>
    <w:rsid w:val="00497E1E"/>
    <w:pPr>
      <w:numPr>
        <w:numId w:val="2"/>
      </w:numPr>
      <w:spacing w:after="120"/>
      <w:contextualSpacing/>
    </w:pPr>
  </w:style>
  <w:style w:type="paragraph" w:styleId="ListBullet3">
    <w:name w:val="List Bullet 3"/>
    <w:basedOn w:val="Normal"/>
    <w:uiPriority w:val="99"/>
    <w:semiHidden/>
    <w:rsid w:val="00497E1E"/>
    <w:pPr>
      <w:numPr>
        <w:numId w:val="3"/>
      </w:numPr>
      <w:contextualSpacing/>
    </w:pPr>
  </w:style>
  <w:style w:type="paragraph" w:styleId="ListBullet">
    <w:name w:val="List Bullet"/>
    <w:basedOn w:val="Normal"/>
    <w:uiPriority w:val="99"/>
    <w:semiHidden/>
    <w:rsid w:val="00497E1E"/>
    <w:pPr>
      <w:numPr>
        <w:numId w:val="1"/>
      </w:numPr>
      <w:spacing w:after="120"/>
      <w:ind w:left="1800"/>
      <w:contextualSpacing/>
    </w:pPr>
  </w:style>
  <w:style w:type="paragraph" w:styleId="ListBullet4">
    <w:name w:val="List Bullet 4"/>
    <w:basedOn w:val="Normal"/>
    <w:uiPriority w:val="99"/>
    <w:semiHidden/>
    <w:rsid w:val="00497E1E"/>
    <w:pPr>
      <w:numPr>
        <w:numId w:val="4"/>
      </w:numPr>
      <w:contextualSpacing/>
    </w:pPr>
  </w:style>
  <w:style w:type="paragraph" w:styleId="ListBullet5">
    <w:name w:val="List Bullet 5"/>
    <w:basedOn w:val="Normal"/>
    <w:uiPriority w:val="99"/>
    <w:semiHidden/>
    <w:rsid w:val="00497E1E"/>
    <w:pPr>
      <w:numPr>
        <w:numId w:val="5"/>
      </w:numPr>
      <w:contextualSpacing/>
    </w:pPr>
  </w:style>
  <w:style w:type="paragraph" w:styleId="ListNumber">
    <w:name w:val="List Number"/>
    <w:basedOn w:val="Normal"/>
    <w:uiPriority w:val="99"/>
    <w:semiHidden/>
    <w:rsid w:val="006F4B06"/>
    <w:pPr>
      <w:spacing w:before="240"/>
    </w:pPr>
  </w:style>
  <w:style w:type="character" w:styleId="Strong">
    <w:name w:val="Strong"/>
    <w:basedOn w:val="DefaultParagraphFont"/>
    <w:uiPriority w:val="22"/>
    <w:semiHidden/>
    <w:qFormat/>
    <w:rsid w:val="00340C6E"/>
    <w:rPr>
      <w:b/>
      <w:bCs/>
    </w:rPr>
  </w:style>
  <w:style w:type="character" w:styleId="SubtleEmphasis">
    <w:name w:val="Subtle Emphasis"/>
    <w:basedOn w:val="DefaultParagraphFont"/>
    <w:uiPriority w:val="19"/>
    <w:semiHidden/>
    <w:qFormat/>
    <w:rsid w:val="00340C6E"/>
    <w:rPr>
      <w:rFonts w:ascii="Franklin Gothic Medium Cond" w:hAnsi="Franklin Gothic Medium Cond"/>
      <w:i w:val="0"/>
      <w:iCs/>
      <w:color w:val="auto"/>
      <w:sz w:val="24"/>
    </w:rPr>
  </w:style>
  <w:style w:type="paragraph" w:styleId="ListNumber2">
    <w:name w:val="List Number 2"/>
    <w:basedOn w:val="Normal"/>
    <w:uiPriority w:val="99"/>
    <w:semiHidden/>
    <w:rsid w:val="00340C6E"/>
    <w:pPr>
      <w:numPr>
        <w:numId w:val="6"/>
      </w:numPr>
      <w:contextualSpacing/>
    </w:pPr>
  </w:style>
  <w:style w:type="numbering" w:customStyle="1" w:styleId="PolicyList">
    <w:name w:val="Policy List"/>
    <w:uiPriority w:val="99"/>
    <w:rsid w:val="0066230F"/>
    <w:pPr>
      <w:numPr>
        <w:numId w:val="9"/>
      </w:numPr>
    </w:pPr>
  </w:style>
  <w:style w:type="numbering" w:customStyle="1" w:styleId="GuidanceBullets">
    <w:name w:val="Guidance Bullets"/>
    <w:uiPriority w:val="99"/>
    <w:rsid w:val="00082EE2"/>
    <w:pPr>
      <w:numPr>
        <w:numId w:val="7"/>
      </w:numPr>
    </w:pPr>
  </w:style>
  <w:style w:type="paragraph" w:customStyle="1" w:styleId="Policu">
    <w:name w:val="Policu"/>
    <w:basedOn w:val="BodyText"/>
    <w:rsid w:val="007350C0"/>
  </w:style>
  <w:style w:type="paragraph" w:customStyle="1" w:styleId="Polcy">
    <w:name w:val="Polcy"/>
    <w:basedOn w:val="BodyText"/>
    <w:rsid w:val="00030204"/>
  </w:style>
  <w:style w:type="paragraph" w:customStyle="1" w:styleId="Polic">
    <w:name w:val="Polic"/>
    <w:basedOn w:val="BodyText"/>
    <w:rsid w:val="00002D4B"/>
  </w:style>
  <w:style w:type="character" w:styleId="CommentReference">
    <w:name w:val="annotation reference"/>
    <w:basedOn w:val="DefaultParagraphFont"/>
    <w:uiPriority w:val="99"/>
    <w:semiHidden/>
    <w:unhideWhenUsed/>
    <w:rsid w:val="005C0D57"/>
    <w:rPr>
      <w:sz w:val="16"/>
      <w:szCs w:val="16"/>
    </w:rPr>
  </w:style>
  <w:style w:type="paragraph" w:styleId="CommentText">
    <w:name w:val="annotation text"/>
    <w:basedOn w:val="Normal"/>
    <w:link w:val="CommentTextChar"/>
    <w:uiPriority w:val="99"/>
    <w:semiHidden/>
    <w:unhideWhenUsed/>
    <w:rsid w:val="005C0D57"/>
    <w:rPr>
      <w:sz w:val="20"/>
      <w:szCs w:val="20"/>
    </w:rPr>
  </w:style>
  <w:style w:type="character" w:customStyle="1" w:styleId="CommentTextChar">
    <w:name w:val="Comment Text Char"/>
    <w:basedOn w:val="DefaultParagraphFont"/>
    <w:link w:val="CommentText"/>
    <w:uiPriority w:val="99"/>
    <w:semiHidden/>
    <w:rsid w:val="005C0D57"/>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5C0D57"/>
    <w:rPr>
      <w:b/>
      <w:bCs/>
    </w:rPr>
  </w:style>
  <w:style w:type="character" w:customStyle="1" w:styleId="CommentSubjectChar">
    <w:name w:val="Comment Subject Char"/>
    <w:basedOn w:val="CommentTextChar"/>
    <w:link w:val="CommentSubject"/>
    <w:uiPriority w:val="99"/>
    <w:semiHidden/>
    <w:rsid w:val="005C0D57"/>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E994-3513-4DFB-A625-F3D28790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12</Pages>
  <Words>4253</Words>
  <Characters>24247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Hoellerich, Melissa</cp:lastModifiedBy>
  <cp:revision>44</cp:revision>
  <cp:lastPrinted>2020-02-06T20:19:00Z</cp:lastPrinted>
  <dcterms:created xsi:type="dcterms:W3CDTF">2017-10-06T20:01:00Z</dcterms:created>
  <dcterms:modified xsi:type="dcterms:W3CDTF">2020-06-23T16:51:00Z</dcterms:modified>
</cp:coreProperties>
</file>