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C75E" w14:textId="0525D4D2" w:rsidR="00E66FFC" w:rsidRDefault="00CB58A9" w:rsidP="00070FC8">
      <w:pPr>
        <w:pStyle w:val="Title"/>
      </w:pPr>
      <w:bookmarkStart w:id="0" w:name="ChapterNumber"/>
      <w:r w:rsidRPr="00217CE9">
        <w:t>Chapter</w:t>
      </w:r>
      <w:r>
        <w:t xml:space="preserve"> </w:t>
      </w:r>
      <w:r w:rsidR="00161F32">
        <w:t>17</w:t>
      </w:r>
      <w:r w:rsidR="008A481F">
        <w:t>:</w:t>
      </w:r>
      <w:bookmarkEnd w:id="0"/>
    </w:p>
    <w:p w14:paraId="0BD51514" w14:textId="7025F7BF" w:rsidR="00CB58A9" w:rsidRDefault="00161F32" w:rsidP="00217CE9">
      <w:pPr>
        <w:pStyle w:val="Title"/>
      </w:pPr>
      <w:r>
        <w:t>Post-Employment Services</w:t>
      </w:r>
    </w:p>
    <w:p w14:paraId="23714B2B" w14:textId="703DA2B3" w:rsidR="000B7FAC" w:rsidRDefault="00217CE9" w:rsidP="000B7FAC">
      <w:r w:rsidRPr="00217CE9">
        <w:t xml:space="preserve">Vermont </w:t>
      </w:r>
      <w:r>
        <w:t xml:space="preserve">Division </w:t>
      </w:r>
      <w:r w:rsidR="009B0986">
        <w:t>for the Blind and Visually Impaired</w:t>
      </w:r>
      <w:r>
        <w:br/>
      </w:r>
      <w:r w:rsidR="00A36337">
        <w:t>Policy and</w:t>
      </w:r>
      <w:r w:rsidRPr="00217CE9">
        <w:t xml:space="preserve"> Procedures Manual</w:t>
      </w:r>
    </w:p>
    <w:p w14:paraId="0797AB5C" w14:textId="6095A57D" w:rsidR="000B7FAC" w:rsidRDefault="000B7FAC" w:rsidP="000B7FAC"/>
    <w:p w14:paraId="67FA87AC" w14:textId="67DB3ABD" w:rsidR="000B7FAC" w:rsidRDefault="000B7FAC" w:rsidP="000B7FAC">
      <w:r>
        <w:t xml:space="preserve">Revision Date:  </w:t>
      </w:r>
      <w:r w:rsidR="00B90AFB">
        <w:t>February 2022</w:t>
      </w:r>
    </w:p>
    <w:p w14:paraId="1D1D83F2" w14:textId="4C5D75A1" w:rsidR="000B7FAC" w:rsidRDefault="000B7FAC" w:rsidP="000B7FAC">
      <w:pPr>
        <w:sectPr w:rsidR="000B7FAC" w:rsidSect="00CC6127">
          <w:headerReference w:type="default" r:id="rId8"/>
          <w:footerReference w:type="default" r:id="rId9"/>
          <w:pgSz w:w="12240" w:h="15840"/>
          <w:pgMar w:top="1440" w:right="1440" w:bottom="1440" w:left="1440" w:header="720" w:footer="720" w:gutter="0"/>
          <w:cols w:space="720"/>
          <w:docGrid w:linePitch="360"/>
        </w:sectPr>
      </w:pPr>
    </w:p>
    <w:sdt>
      <w:sdtPr>
        <w:rPr>
          <w:rFonts w:ascii="Franklin Gothic Book" w:hAnsi="Franklin Gothic Book"/>
          <w:lang w:eastAsia="en-US"/>
        </w:rPr>
        <w:id w:val="-1783792175"/>
        <w:docPartObj>
          <w:docPartGallery w:val="Table of Contents"/>
          <w:docPartUnique/>
        </w:docPartObj>
      </w:sdtPr>
      <w:sdtEndPr>
        <w:rPr>
          <w:b/>
          <w:bCs/>
          <w:noProof/>
        </w:rPr>
      </w:sdtEndPr>
      <w:sdtContent>
        <w:p w14:paraId="105B918A" w14:textId="06A1B5CF" w:rsidR="007D7944" w:rsidRDefault="008A55F0">
          <w:pPr>
            <w:pStyle w:val="TOCHeading"/>
          </w:pPr>
          <w:r>
            <w:t>Table of C</w:t>
          </w:r>
          <w:r w:rsidR="007D7944">
            <w:t>ontents</w:t>
          </w:r>
        </w:p>
        <w:p w14:paraId="35DE5CDE" w14:textId="7FBF32E3" w:rsidR="00C14884" w:rsidRDefault="007D7944">
          <w:pPr>
            <w:pStyle w:val="TOC1"/>
            <w:rPr>
              <w:rFonts w:asciiTheme="minorHAnsi" w:hAnsiTheme="minorHAnsi"/>
              <w:sz w:val="22"/>
              <w:szCs w:val="22"/>
              <w:lang w:eastAsia="en-US"/>
            </w:rPr>
          </w:pPr>
          <w:r>
            <w:rPr>
              <w:noProof w:val="0"/>
            </w:rPr>
            <w:fldChar w:fldCharType="begin"/>
          </w:r>
          <w:r>
            <w:instrText xml:space="preserve"> TOC \o "1-3" \h \z \u </w:instrText>
          </w:r>
          <w:r>
            <w:rPr>
              <w:noProof w:val="0"/>
            </w:rPr>
            <w:fldChar w:fldCharType="separate"/>
          </w:r>
          <w:hyperlink w:anchor="_Toc95118790" w:history="1">
            <w:r w:rsidR="00C14884" w:rsidRPr="00D02566">
              <w:rPr>
                <w:rStyle w:val="Hyperlink"/>
              </w:rPr>
              <w:t>Section I.</w:t>
            </w:r>
            <w:r w:rsidR="00C14884">
              <w:rPr>
                <w:rFonts w:asciiTheme="minorHAnsi" w:hAnsiTheme="minorHAnsi"/>
                <w:sz w:val="22"/>
                <w:szCs w:val="22"/>
                <w:lang w:eastAsia="en-US"/>
              </w:rPr>
              <w:tab/>
            </w:r>
            <w:r w:rsidR="00C14884" w:rsidRPr="00D02566">
              <w:rPr>
                <w:rStyle w:val="Hyperlink"/>
              </w:rPr>
              <w:t>Definition</w:t>
            </w:r>
            <w:r w:rsidR="00C14884">
              <w:rPr>
                <w:webHidden/>
              </w:rPr>
              <w:tab/>
            </w:r>
            <w:r w:rsidR="00C14884">
              <w:rPr>
                <w:webHidden/>
              </w:rPr>
              <w:fldChar w:fldCharType="begin"/>
            </w:r>
            <w:r w:rsidR="00C14884">
              <w:rPr>
                <w:webHidden/>
              </w:rPr>
              <w:instrText xml:space="preserve"> PAGEREF _Toc95118790 \h </w:instrText>
            </w:r>
            <w:r w:rsidR="00C14884">
              <w:rPr>
                <w:webHidden/>
              </w:rPr>
            </w:r>
            <w:r w:rsidR="00C14884">
              <w:rPr>
                <w:webHidden/>
              </w:rPr>
              <w:fldChar w:fldCharType="separate"/>
            </w:r>
            <w:r w:rsidR="00C14884">
              <w:rPr>
                <w:webHidden/>
              </w:rPr>
              <w:t>2</w:t>
            </w:r>
            <w:r w:rsidR="00C14884">
              <w:rPr>
                <w:webHidden/>
              </w:rPr>
              <w:fldChar w:fldCharType="end"/>
            </w:r>
          </w:hyperlink>
        </w:p>
        <w:p w14:paraId="2E9D78BB" w14:textId="1C02C197" w:rsidR="00C14884" w:rsidRDefault="0097532D">
          <w:pPr>
            <w:pStyle w:val="TOC1"/>
            <w:rPr>
              <w:rFonts w:asciiTheme="minorHAnsi" w:hAnsiTheme="minorHAnsi"/>
              <w:sz w:val="22"/>
              <w:szCs w:val="22"/>
              <w:lang w:eastAsia="en-US"/>
            </w:rPr>
          </w:pPr>
          <w:hyperlink w:anchor="_Toc95118791" w:history="1">
            <w:r w:rsidR="00C14884" w:rsidRPr="00D02566">
              <w:rPr>
                <w:rStyle w:val="Hyperlink"/>
              </w:rPr>
              <w:t>Section II.</w:t>
            </w:r>
            <w:r w:rsidR="00C14884">
              <w:rPr>
                <w:rFonts w:asciiTheme="minorHAnsi" w:hAnsiTheme="minorHAnsi"/>
                <w:sz w:val="22"/>
                <w:szCs w:val="22"/>
                <w:lang w:eastAsia="en-US"/>
              </w:rPr>
              <w:tab/>
            </w:r>
            <w:r w:rsidR="00C14884" w:rsidRPr="00D02566">
              <w:rPr>
                <w:rStyle w:val="Hyperlink"/>
              </w:rPr>
              <w:t>General Policy</w:t>
            </w:r>
            <w:r w:rsidR="00C14884">
              <w:rPr>
                <w:webHidden/>
              </w:rPr>
              <w:tab/>
            </w:r>
            <w:r w:rsidR="00C14884">
              <w:rPr>
                <w:webHidden/>
              </w:rPr>
              <w:fldChar w:fldCharType="begin"/>
            </w:r>
            <w:r w:rsidR="00C14884">
              <w:rPr>
                <w:webHidden/>
              </w:rPr>
              <w:instrText xml:space="preserve"> PAGEREF _Toc95118791 \h </w:instrText>
            </w:r>
            <w:r w:rsidR="00C14884">
              <w:rPr>
                <w:webHidden/>
              </w:rPr>
            </w:r>
            <w:r w:rsidR="00C14884">
              <w:rPr>
                <w:webHidden/>
              </w:rPr>
              <w:fldChar w:fldCharType="separate"/>
            </w:r>
            <w:r w:rsidR="00C14884">
              <w:rPr>
                <w:webHidden/>
              </w:rPr>
              <w:t>2</w:t>
            </w:r>
            <w:r w:rsidR="00C14884">
              <w:rPr>
                <w:webHidden/>
              </w:rPr>
              <w:fldChar w:fldCharType="end"/>
            </w:r>
          </w:hyperlink>
        </w:p>
        <w:p w14:paraId="6A2D6DBB" w14:textId="7158C17C" w:rsidR="00C14884" w:rsidRDefault="0097532D">
          <w:pPr>
            <w:pStyle w:val="TOC1"/>
            <w:rPr>
              <w:rFonts w:asciiTheme="minorHAnsi" w:hAnsiTheme="minorHAnsi"/>
              <w:sz w:val="22"/>
              <w:szCs w:val="22"/>
              <w:lang w:eastAsia="en-US"/>
            </w:rPr>
          </w:pPr>
          <w:hyperlink w:anchor="_Toc95118792" w:history="1">
            <w:r w:rsidR="00C14884" w:rsidRPr="00D02566">
              <w:rPr>
                <w:rStyle w:val="Hyperlink"/>
              </w:rPr>
              <w:t>Section III.</w:t>
            </w:r>
            <w:r w:rsidR="00C14884">
              <w:rPr>
                <w:rFonts w:asciiTheme="minorHAnsi" w:hAnsiTheme="minorHAnsi"/>
                <w:sz w:val="22"/>
                <w:szCs w:val="22"/>
                <w:lang w:eastAsia="en-US"/>
              </w:rPr>
              <w:tab/>
            </w:r>
            <w:r w:rsidR="00C14884" w:rsidRPr="00D02566">
              <w:rPr>
                <w:rStyle w:val="Hyperlink"/>
              </w:rPr>
              <w:t>Post-Employment Services Criteria</w:t>
            </w:r>
            <w:r w:rsidR="00C14884">
              <w:rPr>
                <w:webHidden/>
              </w:rPr>
              <w:tab/>
            </w:r>
            <w:r w:rsidR="00C14884">
              <w:rPr>
                <w:webHidden/>
              </w:rPr>
              <w:fldChar w:fldCharType="begin"/>
            </w:r>
            <w:r w:rsidR="00C14884">
              <w:rPr>
                <w:webHidden/>
              </w:rPr>
              <w:instrText xml:space="preserve"> PAGEREF _Toc95118792 \h </w:instrText>
            </w:r>
            <w:r w:rsidR="00C14884">
              <w:rPr>
                <w:webHidden/>
              </w:rPr>
            </w:r>
            <w:r w:rsidR="00C14884">
              <w:rPr>
                <w:webHidden/>
              </w:rPr>
              <w:fldChar w:fldCharType="separate"/>
            </w:r>
            <w:r w:rsidR="00C14884">
              <w:rPr>
                <w:webHidden/>
              </w:rPr>
              <w:t>2</w:t>
            </w:r>
            <w:r w:rsidR="00C14884">
              <w:rPr>
                <w:webHidden/>
              </w:rPr>
              <w:fldChar w:fldCharType="end"/>
            </w:r>
          </w:hyperlink>
        </w:p>
        <w:p w14:paraId="6BD789EE" w14:textId="04706ECA" w:rsidR="00C14884" w:rsidRDefault="0097532D">
          <w:pPr>
            <w:pStyle w:val="TOC1"/>
            <w:rPr>
              <w:rFonts w:asciiTheme="minorHAnsi" w:hAnsiTheme="minorHAnsi"/>
              <w:sz w:val="22"/>
              <w:szCs w:val="22"/>
              <w:lang w:eastAsia="en-US"/>
            </w:rPr>
          </w:pPr>
          <w:hyperlink w:anchor="_Toc95118793" w:history="1">
            <w:r w:rsidR="00C14884" w:rsidRPr="00D02566">
              <w:rPr>
                <w:rStyle w:val="Hyperlink"/>
              </w:rPr>
              <w:t>Section IV.</w:t>
            </w:r>
            <w:r w:rsidR="00C14884">
              <w:rPr>
                <w:rFonts w:asciiTheme="minorHAnsi" w:hAnsiTheme="minorHAnsi"/>
                <w:sz w:val="22"/>
                <w:szCs w:val="22"/>
                <w:lang w:eastAsia="en-US"/>
              </w:rPr>
              <w:tab/>
            </w:r>
            <w:r w:rsidR="00C14884" w:rsidRPr="00D02566">
              <w:rPr>
                <w:rStyle w:val="Hyperlink"/>
              </w:rPr>
              <w:t>Post-Employment versus Re-Opening</w:t>
            </w:r>
            <w:r w:rsidR="00C14884">
              <w:rPr>
                <w:webHidden/>
              </w:rPr>
              <w:tab/>
            </w:r>
            <w:r w:rsidR="00C14884">
              <w:rPr>
                <w:webHidden/>
              </w:rPr>
              <w:fldChar w:fldCharType="begin"/>
            </w:r>
            <w:r w:rsidR="00C14884">
              <w:rPr>
                <w:webHidden/>
              </w:rPr>
              <w:instrText xml:space="preserve"> PAGEREF _Toc95118793 \h </w:instrText>
            </w:r>
            <w:r w:rsidR="00C14884">
              <w:rPr>
                <w:webHidden/>
              </w:rPr>
            </w:r>
            <w:r w:rsidR="00C14884">
              <w:rPr>
                <w:webHidden/>
              </w:rPr>
              <w:fldChar w:fldCharType="separate"/>
            </w:r>
            <w:r w:rsidR="00C14884">
              <w:rPr>
                <w:webHidden/>
              </w:rPr>
              <w:t>3</w:t>
            </w:r>
            <w:r w:rsidR="00C14884">
              <w:rPr>
                <w:webHidden/>
              </w:rPr>
              <w:fldChar w:fldCharType="end"/>
            </w:r>
          </w:hyperlink>
        </w:p>
        <w:p w14:paraId="46D357FC" w14:textId="03B6C404" w:rsidR="00C14884" w:rsidRDefault="0097532D">
          <w:pPr>
            <w:pStyle w:val="TOC1"/>
            <w:rPr>
              <w:rFonts w:asciiTheme="minorHAnsi" w:hAnsiTheme="minorHAnsi"/>
              <w:sz w:val="22"/>
              <w:szCs w:val="22"/>
              <w:lang w:eastAsia="en-US"/>
            </w:rPr>
          </w:pPr>
          <w:hyperlink w:anchor="_Toc95118794" w:history="1">
            <w:r w:rsidR="00C14884" w:rsidRPr="00D02566">
              <w:rPr>
                <w:rStyle w:val="Hyperlink"/>
                <w:bCs/>
                <w:iCs/>
              </w:rPr>
              <w:t xml:space="preserve">Section V.  </w:t>
            </w:r>
            <w:r w:rsidR="00C14884">
              <w:rPr>
                <w:rStyle w:val="Hyperlink"/>
                <w:bCs/>
                <w:iCs/>
              </w:rPr>
              <w:t xml:space="preserve">     </w:t>
            </w:r>
            <w:r w:rsidR="00C14884" w:rsidRPr="00D02566">
              <w:rPr>
                <w:rStyle w:val="Hyperlink"/>
                <w:bCs/>
                <w:iCs/>
              </w:rPr>
              <w:t>Planning for Post-Employment Services</w:t>
            </w:r>
            <w:r w:rsidR="00C14884">
              <w:rPr>
                <w:webHidden/>
              </w:rPr>
              <w:tab/>
            </w:r>
            <w:r w:rsidR="00C14884">
              <w:rPr>
                <w:webHidden/>
              </w:rPr>
              <w:fldChar w:fldCharType="begin"/>
            </w:r>
            <w:r w:rsidR="00C14884">
              <w:rPr>
                <w:webHidden/>
              </w:rPr>
              <w:instrText xml:space="preserve"> PAGEREF _Toc95118794 \h </w:instrText>
            </w:r>
            <w:r w:rsidR="00C14884">
              <w:rPr>
                <w:webHidden/>
              </w:rPr>
            </w:r>
            <w:r w:rsidR="00C14884">
              <w:rPr>
                <w:webHidden/>
              </w:rPr>
              <w:fldChar w:fldCharType="separate"/>
            </w:r>
            <w:r w:rsidR="00C14884">
              <w:rPr>
                <w:webHidden/>
              </w:rPr>
              <w:t>3</w:t>
            </w:r>
            <w:r w:rsidR="00C14884">
              <w:rPr>
                <w:webHidden/>
              </w:rPr>
              <w:fldChar w:fldCharType="end"/>
            </w:r>
          </w:hyperlink>
        </w:p>
        <w:p w14:paraId="34E3475F" w14:textId="1111CDFC" w:rsidR="00C14884" w:rsidRDefault="0097532D">
          <w:pPr>
            <w:pStyle w:val="TOC1"/>
            <w:rPr>
              <w:rFonts w:asciiTheme="minorHAnsi" w:hAnsiTheme="minorHAnsi"/>
              <w:sz w:val="22"/>
              <w:szCs w:val="22"/>
              <w:lang w:eastAsia="en-US"/>
            </w:rPr>
          </w:pPr>
          <w:hyperlink w:anchor="_Toc95118795" w:history="1">
            <w:r w:rsidR="00C14884" w:rsidRPr="00D02566">
              <w:rPr>
                <w:rStyle w:val="Hyperlink"/>
                <w:bCs/>
                <w:iCs/>
              </w:rPr>
              <w:t xml:space="preserve">Section VI.  </w:t>
            </w:r>
            <w:r w:rsidR="00C14884">
              <w:rPr>
                <w:rStyle w:val="Hyperlink"/>
                <w:bCs/>
                <w:iCs/>
              </w:rPr>
              <w:t xml:space="preserve">   </w:t>
            </w:r>
            <w:r w:rsidR="00C14884" w:rsidRPr="00D02566">
              <w:rPr>
                <w:rStyle w:val="Hyperlink"/>
                <w:bCs/>
                <w:iCs/>
              </w:rPr>
              <w:t>Closure of Post-Employment Services (PES)</w:t>
            </w:r>
            <w:r w:rsidR="00C14884">
              <w:rPr>
                <w:webHidden/>
              </w:rPr>
              <w:tab/>
            </w:r>
            <w:r w:rsidR="00C14884">
              <w:rPr>
                <w:webHidden/>
              </w:rPr>
              <w:fldChar w:fldCharType="begin"/>
            </w:r>
            <w:r w:rsidR="00C14884">
              <w:rPr>
                <w:webHidden/>
              </w:rPr>
              <w:instrText xml:space="preserve"> PAGEREF _Toc95118795 \h </w:instrText>
            </w:r>
            <w:r w:rsidR="00C14884">
              <w:rPr>
                <w:webHidden/>
              </w:rPr>
            </w:r>
            <w:r w:rsidR="00C14884">
              <w:rPr>
                <w:webHidden/>
              </w:rPr>
              <w:fldChar w:fldCharType="separate"/>
            </w:r>
            <w:r w:rsidR="00C14884">
              <w:rPr>
                <w:webHidden/>
              </w:rPr>
              <w:t>4</w:t>
            </w:r>
            <w:r w:rsidR="00C14884">
              <w:rPr>
                <w:webHidden/>
              </w:rPr>
              <w:fldChar w:fldCharType="end"/>
            </w:r>
          </w:hyperlink>
        </w:p>
        <w:p w14:paraId="0E35E5C6" w14:textId="5C861BDF" w:rsidR="00C14884" w:rsidRDefault="0097532D">
          <w:pPr>
            <w:pStyle w:val="TOC1"/>
            <w:rPr>
              <w:rFonts w:asciiTheme="minorHAnsi" w:hAnsiTheme="minorHAnsi"/>
              <w:sz w:val="22"/>
              <w:szCs w:val="22"/>
              <w:lang w:eastAsia="en-US"/>
            </w:rPr>
          </w:pPr>
          <w:hyperlink w:anchor="_Toc95118796" w:history="1">
            <w:r w:rsidR="00C14884" w:rsidRPr="00D02566">
              <w:rPr>
                <w:rStyle w:val="Hyperlink"/>
              </w:rPr>
              <w:t xml:space="preserve">Section VII. </w:t>
            </w:r>
            <w:r w:rsidR="00C14884">
              <w:rPr>
                <w:rStyle w:val="Hyperlink"/>
              </w:rPr>
              <w:t xml:space="preserve">   </w:t>
            </w:r>
            <w:r w:rsidR="00C14884" w:rsidRPr="00D02566">
              <w:rPr>
                <w:rStyle w:val="Hyperlink"/>
              </w:rPr>
              <w:t>Spending Guidelines</w:t>
            </w:r>
            <w:r w:rsidR="00C14884">
              <w:rPr>
                <w:webHidden/>
              </w:rPr>
              <w:tab/>
            </w:r>
            <w:r w:rsidR="00C14884">
              <w:rPr>
                <w:webHidden/>
              </w:rPr>
              <w:fldChar w:fldCharType="begin"/>
            </w:r>
            <w:r w:rsidR="00C14884">
              <w:rPr>
                <w:webHidden/>
              </w:rPr>
              <w:instrText xml:space="preserve"> PAGEREF _Toc95118796 \h </w:instrText>
            </w:r>
            <w:r w:rsidR="00C14884">
              <w:rPr>
                <w:webHidden/>
              </w:rPr>
            </w:r>
            <w:r w:rsidR="00C14884">
              <w:rPr>
                <w:webHidden/>
              </w:rPr>
              <w:fldChar w:fldCharType="separate"/>
            </w:r>
            <w:r w:rsidR="00C14884">
              <w:rPr>
                <w:webHidden/>
              </w:rPr>
              <w:t>4</w:t>
            </w:r>
            <w:r w:rsidR="00C14884">
              <w:rPr>
                <w:webHidden/>
              </w:rPr>
              <w:fldChar w:fldCharType="end"/>
            </w:r>
          </w:hyperlink>
        </w:p>
        <w:p w14:paraId="702917FA" w14:textId="44BCA3BD" w:rsidR="007D7944" w:rsidRDefault="007D7944">
          <w:r>
            <w:rPr>
              <w:b/>
              <w:bCs/>
              <w:noProof/>
            </w:rPr>
            <w:fldChar w:fldCharType="end"/>
          </w:r>
        </w:p>
      </w:sdtContent>
    </w:sdt>
    <w:p w14:paraId="7389D504" w14:textId="77777777" w:rsidR="00CC6127" w:rsidRDefault="007B5CDA" w:rsidP="00CC6127">
      <w:pPr>
        <w:pStyle w:val="BodyText"/>
        <w:sectPr w:rsidR="00CC6127" w:rsidSect="00CC6127">
          <w:type w:val="continuous"/>
          <w:pgSz w:w="12240" w:h="15840"/>
          <w:pgMar w:top="1440" w:right="2790" w:bottom="1440" w:left="1440" w:header="720" w:footer="720" w:gutter="0"/>
          <w:cols w:space="720"/>
          <w:docGrid w:linePitch="360"/>
        </w:sectPr>
      </w:pPr>
      <w:r>
        <w:tab/>
      </w:r>
      <w:r>
        <w:tab/>
      </w:r>
    </w:p>
    <w:p w14:paraId="09BDFCC2" w14:textId="77777777" w:rsidR="00882762" w:rsidRDefault="00882762">
      <w:pPr>
        <w:spacing w:after="200" w:line="276" w:lineRule="auto"/>
      </w:pPr>
      <w:r>
        <w:br w:type="page"/>
      </w:r>
    </w:p>
    <w:p w14:paraId="58964D28" w14:textId="34FAABB8" w:rsidR="00882762" w:rsidRDefault="00882762" w:rsidP="00F36245">
      <w:pPr>
        <w:pStyle w:val="Heading1"/>
        <w:numPr>
          <w:ilvl w:val="0"/>
          <w:numId w:val="0"/>
        </w:numPr>
      </w:pPr>
      <w:bookmarkStart w:id="1" w:name="_Toc95118790"/>
      <w:r>
        <w:lastRenderedPageBreak/>
        <w:t>Section I.</w:t>
      </w:r>
      <w:r>
        <w:tab/>
        <w:t>Definition</w:t>
      </w:r>
      <w:bookmarkEnd w:id="1"/>
    </w:p>
    <w:p w14:paraId="35CD9073" w14:textId="602BCDE6" w:rsidR="0021151E" w:rsidRDefault="001A20BB" w:rsidP="0021151E">
      <w:pPr>
        <w:pStyle w:val="BodyText"/>
        <w:numPr>
          <w:ilvl w:val="1"/>
          <w:numId w:val="14"/>
        </w:numPr>
      </w:pPr>
      <w:r w:rsidRPr="00AF2144">
        <w:rPr>
          <w:rStyle w:val="Emphasis"/>
        </w:rPr>
        <w:t>"</w:t>
      </w:r>
      <w:r w:rsidR="00482915">
        <w:rPr>
          <w:rStyle w:val="Emphasis"/>
        </w:rPr>
        <w:t>Post-Employment</w:t>
      </w:r>
      <w:r w:rsidRPr="00AF2144">
        <w:rPr>
          <w:rStyle w:val="Emphasis"/>
        </w:rPr>
        <w:t>"</w:t>
      </w:r>
      <w:r w:rsidRPr="00A67EE8">
        <w:t xml:space="preserve"> means</w:t>
      </w:r>
      <w:r w:rsidR="00482915">
        <w:t xml:space="preserve"> services provided subsequent to the achievement of an employment outcome and necessary for an individual to maintain, regain, or advance in employment</w:t>
      </w:r>
      <w:r w:rsidR="00AB12B3">
        <w:t>.   Post-employment services are intended to ensure that the employment outcome remains</w:t>
      </w:r>
      <w:r w:rsidR="00482915">
        <w:t xml:space="preserve"> consistent with the </w:t>
      </w:r>
      <w:r w:rsidR="00AB12B3">
        <w:t>individual</w:t>
      </w:r>
      <w:r w:rsidR="00482915">
        <w:t>’s</w:t>
      </w:r>
      <w:r w:rsidR="00AB12B3">
        <w:t xml:space="preserve"> unique</w:t>
      </w:r>
      <w:r w:rsidR="00482915">
        <w:t xml:space="preserve"> strengths, resources, priorities, concerns, abilities, capabilities, and interests.</w:t>
      </w:r>
      <w:r w:rsidRPr="00A67EE8">
        <w:t xml:space="preserve">  </w:t>
      </w:r>
    </w:p>
    <w:p w14:paraId="09B61A65" w14:textId="77777777" w:rsidR="00090CCC" w:rsidRDefault="00882762" w:rsidP="00F36245">
      <w:pPr>
        <w:pStyle w:val="Heading1"/>
        <w:numPr>
          <w:ilvl w:val="0"/>
          <w:numId w:val="0"/>
        </w:numPr>
      </w:pPr>
      <w:bookmarkStart w:id="2" w:name="_Toc95118791"/>
      <w:r>
        <w:t>Section II.</w:t>
      </w:r>
      <w:r>
        <w:tab/>
        <w:t>General Policy</w:t>
      </w:r>
      <w:bookmarkEnd w:id="2"/>
    </w:p>
    <w:p w14:paraId="2A1F43AC" w14:textId="7C66519B" w:rsidR="00E44E05" w:rsidRDefault="000824EF" w:rsidP="000824EF">
      <w:pPr>
        <w:pStyle w:val="BodyText"/>
        <w:numPr>
          <w:ilvl w:val="0"/>
          <w:numId w:val="18"/>
        </w:numPr>
      </w:pPr>
      <w:r>
        <w:t xml:space="preserve">Post-employment services are available to meet rehabilitation needs that do not require a complex or comprehensive provision of services and thus should be limited in scope and duration.  If more comprehensive services are required, opening a new case should be considered.  Post-employment services are </w:t>
      </w:r>
      <w:r w:rsidR="002A183B">
        <w:t xml:space="preserve">to be </w:t>
      </w:r>
      <w:r>
        <w:t xml:space="preserve">provided </w:t>
      </w:r>
      <w:r w:rsidR="002A183B">
        <w:t>under</w:t>
      </w:r>
      <w:r>
        <w:t xml:space="preserve"> a</w:t>
      </w:r>
      <w:r w:rsidR="00BE0BC0">
        <w:t>n</w:t>
      </w:r>
      <w:r>
        <w:t xml:space="preserve"> </w:t>
      </w:r>
      <w:r w:rsidR="00760B87">
        <w:t>amended Individualized Plan for Employm</w:t>
      </w:r>
      <w:r w:rsidR="00BE0BC0">
        <w:t>ent (IPE)</w:t>
      </w:r>
      <w:r>
        <w:t>.</w:t>
      </w:r>
    </w:p>
    <w:p w14:paraId="735BB9BD" w14:textId="77CB9285" w:rsidR="000824EF" w:rsidRDefault="000824EF" w:rsidP="000824EF">
      <w:pPr>
        <w:pStyle w:val="BodyText"/>
        <w:numPr>
          <w:ilvl w:val="0"/>
          <w:numId w:val="18"/>
        </w:numPr>
      </w:pPr>
      <w:r>
        <w:t xml:space="preserve">The </w:t>
      </w:r>
      <w:r w:rsidR="00BE0BC0">
        <w:t>IPE</w:t>
      </w:r>
      <w:r>
        <w:t xml:space="preserve"> plan must include:</w:t>
      </w:r>
    </w:p>
    <w:p w14:paraId="43FD0C41" w14:textId="556174B3" w:rsidR="000824EF" w:rsidRDefault="000824EF" w:rsidP="000824EF">
      <w:pPr>
        <w:pStyle w:val="BodyText"/>
        <w:numPr>
          <w:ilvl w:val="0"/>
          <w:numId w:val="20"/>
        </w:numPr>
        <w:spacing w:before="0"/>
        <w:ind w:left="1080" w:firstLine="0"/>
      </w:pPr>
      <w:r>
        <w:t>The services to be provided in post-employment</w:t>
      </w:r>
    </w:p>
    <w:p w14:paraId="16C6E3D3" w14:textId="1A1D1564" w:rsidR="000824EF" w:rsidRDefault="000824EF" w:rsidP="000824EF">
      <w:pPr>
        <w:pStyle w:val="BodyText"/>
        <w:numPr>
          <w:ilvl w:val="0"/>
          <w:numId w:val="20"/>
        </w:numPr>
        <w:spacing w:before="0"/>
        <w:ind w:left="1080" w:firstLine="0"/>
      </w:pPr>
      <w:r>
        <w:t>The expected duration of services</w:t>
      </w:r>
    </w:p>
    <w:p w14:paraId="1519D64D" w14:textId="7C558F88" w:rsidR="002A183B" w:rsidRDefault="000824EF" w:rsidP="002A183B">
      <w:pPr>
        <w:pStyle w:val="BodyText"/>
        <w:numPr>
          <w:ilvl w:val="0"/>
          <w:numId w:val="18"/>
        </w:numPr>
      </w:pPr>
      <w:r>
        <w:t>The provision of post-employment services is subject to the same requirements as the provision of any other DBVI service.</w:t>
      </w:r>
      <w:r w:rsidR="002A183B">
        <w:t xml:space="preserve">  </w:t>
      </w:r>
    </w:p>
    <w:p w14:paraId="52B97046" w14:textId="6BF03C3E" w:rsidR="00882762" w:rsidRDefault="00882762" w:rsidP="0070105A">
      <w:pPr>
        <w:pStyle w:val="Heading1"/>
        <w:numPr>
          <w:ilvl w:val="0"/>
          <w:numId w:val="0"/>
        </w:numPr>
      </w:pPr>
      <w:bookmarkStart w:id="3" w:name="_Toc95118792"/>
      <w:r>
        <w:t>Section III.</w:t>
      </w:r>
      <w:r>
        <w:tab/>
      </w:r>
      <w:r w:rsidR="000824EF">
        <w:t>Post-Employment Services Criteria</w:t>
      </w:r>
      <w:bookmarkEnd w:id="3"/>
      <w:r>
        <w:t xml:space="preserve"> </w:t>
      </w:r>
    </w:p>
    <w:p w14:paraId="5E3C5BAC" w14:textId="7A440869" w:rsidR="004C747C" w:rsidRDefault="004C747C" w:rsidP="00116D2A">
      <w:pPr>
        <w:pStyle w:val="BodyText"/>
        <w:spacing w:before="0"/>
        <w:ind w:left="720"/>
      </w:pPr>
    </w:p>
    <w:p w14:paraId="37BAEB40" w14:textId="35929BD0" w:rsidR="00695F14" w:rsidRDefault="00695F14" w:rsidP="00695F14">
      <w:pPr>
        <w:pStyle w:val="BodyText"/>
        <w:spacing w:before="0"/>
      </w:pPr>
      <w:r>
        <w:t>The counselor can open a case in PES if the following apply:</w:t>
      </w:r>
    </w:p>
    <w:p w14:paraId="5B64895D" w14:textId="77777777" w:rsidR="00695F14" w:rsidRDefault="00695F14" w:rsidP="00695F14">
      <w:pPr>
        <w:pStyle w:val="BodyText"/>
        <w:spacing w:before="0"/>
        <w:ind w:left="720"/>
      </w:pPr>
    </w:p>
    <w:p w14:paraId="1F03A7F2" w14:textId="04D94829" w:rsidR="000824EF" w:rsidRDefault="00A22510" w:rsidP="00695F14">
      <w:pPr>
        <w:pStyle w:val="BodyText"/>
        <w:numPr>
          <w:ilvl w:val="0"/>
          <w:numId w:val="23"/>
        </w:numPr>
        <w:spacing w:before="0"/>
      </w:pPr>
      <w:r>
        <w:t xml:space="preserve">Post-employment services </w:t>
      </w:r>
      <w:r w:rsidR="00695F14">
        <w:t>are</w:t>
      </w:r>
      <w:r>
        <w:t xml:space="preserve"> related to and supportive of the </w:t>
      </w:r>
      <w:r w:rsidR="00BE0BC0">
        <w:t xml:space="preserve">consumer’s </w:t>
      </w:r>
      <w:r>
        <w:t xml:space="preserve">original IPE goal and </w:t>
      </w:r>
      <w:r w:rsidR="00BE0BC0">
        <w:t>their disability</w:t>
      </w:r>
      <w:r>
        <w:t>;</w:t>
      </w:r>
    </w:p>
    <w:p w14:paraId="1312E723" w14:textId="5623710E" w:rsidR="00A22510" w:rsidRDefault="00A22510" w:rsidP="00695F14">
      <w:pPr>
        <w:pStyle w:val="BodyText"/>
        <w:numPr>
          <w:ilvl w:val="0"/>
          <w:numId w:val="23"/>
        </w:numPr>
        <w:spacing w:before="0"/>
      </w:pPr>
      <w:r>
        <w:t>Previous data and rehabilitation efforts have not lost relevancy and significance;</w:t>
      </w:r>
    </w:p>
    <w:p w14:paraId="4F5F91B7" w14:textId="7D3DF246" w:rsidR="00A22510" w:rsidRDefault="00A22510" w:rsidP="00695F14">
      <w:pPr>
        <w:pStyle w:val="BodyText"/>
        <w:numPr>
          <w:ilvl w:val="0"/>
          <w:numId w:val="23"/>
        </w:numPr>
        <w:spacing w:before="0"/>
      </w:pPr>
      <w:r>
        <w:t>The need is beyond the individual</w:t>
      </w:r>
      <w:r w:rsidR="00B93195">
        <w:t>’s ability</w:t>
      </w:r>
      <w:r>
        <w:t xml:space="preserve"> to provide;</w:t>
      </w:r>
    </w:p>
    <w:p w14:paraId="05BA1B28" w14:textId="7F349F3A" w:rsidR="00A22510" w:rsidRDefault="00A22510" w:rsidP="00695F14">
      <w:pPr>
        <w:pStyle w:val="BodyText"/>
        <w:numPr>
          <w:ilvl w:val="0"/>
          <w:numId w:val="23"/>
        </w:numPr>
        <w:spacing w:before="0"/>
      </w:pPr>
      <w:r>
        <w:t xml:space="preserve">The services are one time only for a specific </w:t>
      </w:r>
      <w:r w:rsidR="00413DA1">
        <w:t>period</w:t>
      </w:r>
      <w:r>
        <w:t>.</w:t>
      </w:r>
    </w:p>
    <w:p w14:paraId="424D758F" w14:textId="30A3CEB5" w:rsidR="00F76B17" w:rsidRDefault="00F76B17" w:rsidP="00F76B17">
      <w:pPr>
        <w:pStyle w:val="BodyText"/>
        <w:spacing w:before="0"/>
      </w:pPr>
    </w:p>
    <w:p w14:paraId="29ACDF59" w14:textId="62D7A037" w:rsidR="00F76B17" w:rsidRDefault="00F76B17" w:rsidP="00F76B17">
      <w:pPr>
        <w:pStyle w:val="BodyText"/>
        <w:spacing w:before="0"/>
        <w:ind w:left="1440"/>
        <w:rPr>
          <w:b/>
          <w:color w:val="0070C0"/>
        </w:rPr>
      </w:pPr>
      <w:r>
        <w:rPr>
          <w:b/>
          <w:color w:val="0070C0"/>
        </w:rPr>
        <w:t>Guidance – Examples of Post-Employment Cases.</w:t>
      </w:r>
    </w:p>
    <w:p w14:paraId="68012036" w14:textId="77777777" w:rsidR="00F76B17" w:rsidRDefault="00F76B17" w:rsidP="00F76B17">
      <w:pPr>
        <w:pStyle w:val="BodyText"/>
        <w:spacing w:before="0"/>
        <w:ind w:left="1440"/>
        <w:rPr>
          <w:b/>
          <w:color w:val="0070C0"/>
        </w:rPr>
      </w:pPr>
    </w:p>
    <w:p w14:paraId="0E3DB161" w14:textId="0F34FBD8" w:rsidR="00F76B17" w:rsidRDefault="00F76B17" w:rsidP="00F76B17">
      <w:pPr>
        <w:pStyle w:val="BodyText"/>
        <w:numPr>
          <w:ilvl w:val="0"/>
          <w:numId w:val="24"/>
        </w:numPr>
        <w:spacing w:before="0"/>
        <w:rPr>
          <w:i/>
        </w:rPr>
      </w:pPr>
      <w:r>
        <w:rPr>
          <w:i/>
        </w:rPr>
        <w:t xml:space="preserve">An employed consumer needs O&amp;M services </w:t>
      </w:r>
      <w:r w:rsidR="00413DA1">
        <w:rPr>
          <w:i/>
        </w:rPr>
        <w:t>to</w:t>
      </w:r>
      <w:r w:rsidR="00DE56DF">
        <w:rPr>
          <w:i/>
        </w:rPr>
        <w:t xml:space="preserve"> </w:t>
      </w:r>
      <w:r w:rsidR="00413DA1">
        <w:rPr>
          <w:i/>
        </w:rPr>
        <w:t xml:space="preserve">become oriented to and access a new </w:t>
      </w:r>
      <w:r w:rsidR="00B93195">
        <w:rPr>
          <w:i/>
        </w:rPr>
        <w:t>workspace</w:t>
      </w:r>
      <w:r w:rsidR="00DE56DF">
        <w:rPr>
          <w:i/>
        </w:rPr>
        <w:t>.</w:t>
      </w:r>
    </w:p>
    <w:p w14:paraId="5DD635EC" w14:textId="77777777" w:rsidR="00DE56DF" w:rsidRDefault="00DE56DF" w:rsidP="00DE56DF">
      <w:pPr>
        <w:pStyle w:val="BodyText"/>
        <w:spacing w:before="0"/>
        <w:ind w:left="2160"/>
        <w:rPr>
          <w:i/>
        </w:rPr>
      </w:pPr>
    </w:p>
    <w:p w14:paraId="78F9B9E4" w14:textId="45827430" w:rsidR="00DE56DF" w:rsidRDefault="00DE56DF" w:rsidP="00F76B17">
      <w:pPr>
        <w:pStyle w:val="BodyText"/>
        <w:numPr>
          <w:ilvl w:val="0"/>
          <w:numId w:val="24"/>
        </w:numPr>
        <w:spacing w:before="0"/>
        <w:rPr>
          <w:i/>
        </w:rPr>
      </w:pPr>
      <w:r>
        <w:rPr>
          <w:i/>
        </w:rPr>
        <w:t>A consumer reengages with DBVI to receive benefits counseling because they have used their Social Security Disability Insurance (SSDI) Trial Work Period.</w:t>
      </w:r>
    </w:p>
    <w:p w14:paraId="38B0241D" w14:textId="77777777" w:rsidR="00DE56DF" w:rsidRDefault="00DE56DF" w:rsidP="00DE56DF">
      <w:pPr>
        <w:pStyle w:val="BodyText"/>
        <w:spacing w:before="0"/>
        <w:rPr>
          <w:i/>
        </w:rPr>
      </w:pPr>
    </w:p>
    <w:p w14:paraId="077E5950" w14:textId="480C42DA" w:rsidR="00DE56DF" w:rsidRDefault="00DE56DF" w:rsidP="00F76B17">
      <w:pPr>
        <w:pStyle w:val="BodyText"/>
        <w:numPr>
          <w:ilvl w:val="0"/>
          <w:numId w:val="24"/>
        </w:numPr>
        <w:spacing w:before="0"/>
        <w:rPr>
          <w:i/>
        </w:rPr>
      </w:pPr>
      <w:r>
        <w:rPr>
          <w:i/>
        </w:rPr>
        <w:t xml:space="preserve">A consumer reengages with DBVI because they need assistive technology support </w:t>
      </w:r>
      <w:r w:rsidR="00413DA1">
        <w:rPr>
          <w:i/>
        </w:rPr>
        <w:t xml:space="preserve">for ZoomText </w:t>
      </w:r>
      <w:r>
        <w:rPr>
          <w:i/>
        </w:rPr>
        <w:t>on the job.</w:t>
      </w:r>
    </w:p>
    <w:p w14:paraId="6FCA9015" w14:textId="77777777" w:rsidR="00F76B17" w:rsidRDefault="00F76B17" w:rsidP="00F76B17">
      <w:pPr>
        <w:pStyle w:val="BodyText"/>
        <w:spacing w:before="0"/>
        <w:ind w:left="1440"/>
        <w:rPr>
          <w:b/>
          <w:i/>
          <w:color w:val="0070C0"/>
        </w:rPr>
      </w:pPr>
    </w:p>
    <w:p w14:paraId="49065829" w14:textId="77777777" w:rsidR="00F76B17" w:rsidRPr="008D4379" w:rsidRDefault="00F76B17" w:rsidP="00F76B17">
      <w:pPr>
        <w:pStyle w:val="BodyText"/>
        <w:spacing w:before="0"/>
        <w:ind w:left="1440"/>
        <w:rPr>
          <w:b/>
          <w:i/>
          <w:color w:val="0070C0"/>
        </w:rPr>
      </w:pPr>
      <w:r>
        <w:rPr>
          <w:b/>
          <w:i/>
          <w:color w:val="0070C0"/>
        </w:rPr>
        <w:t>End Guidance.</w:t>
      </w:r>
    </w:p>
    <w:p w14:paraId="173DD4D7" w14:textId="2D222F08" w:rsidR="00F76B17" w:rsidRDefault="00F76B17" w:rsidP="00F76B17">
      <w:pPr>
        <w:pStyle w:val="BodyText"/>
        <w:spacing w:before="0"/>
      </w:pPr>
    </w:p>
    <w:p w14:paraId="4C95AD73" w14:textId="05938969" w:rsidR="004C747C" w:rsidRDefault="00882762" w:rsidP="0070105A">
      <w:pPr>
        <w:pStyle w:val="Heading1"/>
        <w:numPr>
          <w:ilvl w:val="0"/>
          <w:numId w:val="0"/>
        </w:numPr>
      </w:pPr>
      <w:bookmarkStart w:id="4" w:name="_Hlk54093580"/>
      <w:bookmarkStart w:id="5" w:name="_Toc95118793"/>
      <w:r w:rsidRPr="00090CCC">
        <w:t>Section IV.</w:t>
      </w:r>
      <w:bookmarkEnd w:id="4"/>
      <w:r w:rsidRPr="00090CCC">
        <w:tab/>
      </w:r>
      <w:r w:rsidR="00976949">
        <w:t>Post-Employment versus Re-Opening</w:t>
      </w:r>
      <w:bookmarkEnd w:id="5"/>
    </w:p>
    <w:p w14:paraId="080B2976" w14:textId="34BE16D5" w:rsidR="00976949" w:rsidRDefault="00976949" w:rsidP="00976949"/>
    <w:p w14:paraId="7B7EC95C" w14:textId="37AB5D00" w:rsidR="00976949" w:rsidRDefault="00976949" w:rsidP="00976949">
      <w:r>
        <w:t xml:space="preserve">The </w:t>
      </w:r>
      <w:r w:rsidR="00B93195">
        <w:t xml:space="preserve">DBVI </w:t>
      </w:r>
      <w:r w:rsidR="00CA45B2">
        <w:t>counselor should open a new case</w:t>
      </w:r>
      <w:r>
        <w:t xml:space="preserve"> if</w:t>
      </w:r>
      <w:r w:rsidR="00CA45B2">
        <w:t xml:space="preserve"> any of the following apply</w:t>
      </w:r>
      <w:r>
        <w:t>:</w:t>
      </w:r>
    </w:p>
    <w:p w14:paraId="23812CB6" w14:textId="08C6EDA3" w:rsidR="00976949" w:rsidRDefault="00976949" w:rsidP="00976949">
      <w:pPr>
        <w:pStyle w:val="ListParagraph"/>
        <w:numPr>
          <w:ilvl w:val="2"/>
          <w:numId w:val="14"/>
        </w:numPr>
      </w:pPr>
      <w:r>
        <w:t>Consumer has a new employment/career goal</w:t>
      </w:r>
      <w:r w:rsidR="00CA45B2">
        <w:t>.</w:t>
      </w:r>
    </w:p>
    <w:p w14:paraId="4DC60B4C" w14:textId="129A8855" w:rsidR="00976949" w:rsidRDefault="00976949" w:rsidP="00976949">
      <w:pPr>
        <w:pStyle w:val="ListParagraph"/>
        <w:numPr>
          <w:ilvl w:val="2"/>
          <w:numId w:val="14"/>
        </w:numPr>
      </w:pPr>
      <w:r>
        <w:t>Consumer has a new educational goal that may result in a credential</w:t>
      </w:r>
      <w:r w:rsidR="00CA45B2">
        <w:t>.</w:t>
      </w:r>
    </w:p>
    <w:p w14:paraId="12223293" w14:textId="74551B65" w:rsidR="00976949" w:rsidRDefault="00976949" w:rsidP="00976949">
      <w:pPr>
        <w:pStyle w:val="ListParagraph"/>
        <w:numPr>
          <w:ilvl w:val="2"/>
          <w:numId w:val="14"/>
        </w:numPr>
      </w:pPr>
      <w:r>
        <w:t xml:space="preserve">Post-employment </w:t>
      </w:r>
      <w:r w:rsidR="00542E0B">
        <w:t>needs</w:t>
      </w:r>
      <w:r>
        <w:t xml:space="preserve"> are complex and </w:t>
      </w:r>
      <w:r w:rsidR="00542E0B">
        <w:t>require</w:t>
      </w:r>
      <w:r>
        <w:t xml:space="preserve"> multiple services over a lengthy</w:t>
      </w:r>
      <w:r w:rsidR="00542E0B">
        <w:t xml:space="preserve"> period of time.</w:t>
      </w:r>
    </w:p>
    <w:p w14:paraId="56EEC2DF" w14:textId="6BC7D7C8" w:rsidR="00CA45B2" w:rsidRDefault="00CA45B2" w:rsidP="00976949">
      <w:pPr>
        <w:pStyle w:val="ListParagraph"/>
        <w:numPr>
          <w:ilvl w:val="2"/>
          <w:numId w:val="14"/>
        </w:numPr>
      </w:pPr>
      <w:r>
        <w:t>There are new functional limitations or exacerbation of the disability.</w:t>
      </w:r>
    </w:p>
    <w:p w14:paraId="26530C04" w14:textId="77777777" w:rsidR="00976949" w:rsidRPr="00976949" w:rsidRDefault="00976949" w:rsidP="00976949"/>
    <w:p w14:paraId="4B3AEC84" w14:textId="096948AB" w:rsidR="00BE3882" w:rsidRDefault="00BE3882" w:rsidP="00BE3882">
      <w:pPr>
        <w:pStyle w:val="BodyText"/>
        <w:spacing w:before="0"/>
        <w:ind w:left="1440"/>
        <w:rPr>
          <w:b/>
          <w:color w:val="0070C0"/>
        </w:rPr>
      </w:pPr>
      <w:bookmarkStart w:id="6" w:name="_Hlk54094305"/>
      <w:r>
        <w:rPr>
          <w:b/>
          <w:color w:val="0070C0"/>
        </w:rPr>
        <w:t xml:space="preserve">Guidance – </w:t>
      </w:r>
      <w:r w:rsidR="00542E0B">
        <w:rPr>
          <w:b/>
          <w:color w:val="0070C0"/>
        </w:rPr>
        <w:t>Examples of reasons for opening a new DBVI case</w:t>
      </w:r>
    </w:p>
    <w:p w14:paraId="79630D7A" w14:textId="4C4AFE95" w:rsidR="00BE3882" w:rsidRDefault="00BE3882" w:rsidP="00BE3882">
      <w:pPr>
        <w:pStyle w:val="BodyText"/>
        <w:spacing w:before="0"/>
        <w:ind w:left="1440"/>
        <w:rPr>
          <w:b/>
          <w:color w:val="0070C0"/>
        </w:rPr>
      </w:pPr>
    </w:p>
    <w:p w14:paraId="5EE0BD63" w14:textId="46B2E34C" w:rsidR="004877F3" w:rsidRDefault="00DE56DF" w:rsidP="00DE56DF">
      <w:pPr>
        <w:pStyle w:val="BodyText"/>
        <w:numPr>
          <w:ilvl w:val="0"/>
          <w:numId w:val="25"/>
        </w:numPr>
        <w:spacing w:before="0"/>
        <w:rPr>
          <w:i/>
        </w:rPr>
      </w:pPr>
      <w:r>
        <w:rPr>
          <w:i/>
        </w:rPr>
        <w:t>A consumer returns to DBVI because they want help obtaining an industry recognized credential to help them advance in their current employment.</w:t>
      </w:r>
    </w:p>
    <w:p w14:paraId="57C6C7DB" w14:textId="77777777" w:rsidR="00DE56DF" w:rsidRDefault="00DE56DF" w:rsidP="00DE56DF">
      <w:pPr>
        <w:pStyle w:val="BodyText"/>
        <w:spacing w:before="0"/>
        <w:rPr>
          <w:i/>
        </w:rPr>
      </w:pPr>
    </w:p>
    <w:p w14:paraId="761ABBE9" w14:textId="13F2E123" w:rsidR="00DE56DF" w:rsidRDefault="00DE56DF" w:rsidP="00DE56DF">
      <w:pPr>
        <w:pStyle w:val="BodyText"/>
        <w:numPr>
          <w:ilvl w:val="0"/>
          <w:numId w:val="25"/>
        </w:numPr>
        <w:spacing w:before="0"/>
        <w:rPr>
          <w:i/>
        </w:rPr>
      </w:pPr>
      <w:r>
        <w:rPr>
          <w:i/>
        </w:rPr>
        <w:t>A consumer’s vis</w:t>
      </w:r>
      <w:r w:rsidR="00542E0B">
        <w:rPr>
          <w:i/>
        </w:rPr>
        <w:t>ion</w:t>
      </w:r>
      <w:r>
        <w:rPr>
          <w:i/>
        </w:rPr>
        <w:t xml:space="preserve"> has substantially declined affecting their ability to maintain their current employment.  The counselor determines it will take considerable counseling, assessment, and </w:t>
      </w:r>
      <w:r w:rsidR="00542E0B">
        <w:rPr>
          <w:i/>
        </w:rPr>
        <w:t xml:space="preserve">other </w:t>
      </w:r>
      <w:r>
        <w:rPr>
          <w:i/>
        </w:rPr>
        <w:t>services to support the consumer in retaining the job or finding new employment.</w:t>
      </w:r>
    </w:p>
    <w:p w14:paraId="573137E8" w14:textId="77777777" w:rsidR="00DE56DF" w:rsidRDefault="00DE56DF" w:rsidP="00DE56DF">
      <w:pPr>
        <w:pStyle w:val="BodyText"/>
        <w:spacing w:before="0"/>
        <w:rPr>
          <w:i/>
        </w:rPr>
      </w:pPr>
    </w:p>
    <w:p w14:paraId="25E7C70F" w14:textId="7B6D7606" w:rsidR="00DE56DF" w:rsidRDefault="00DE56DF" w:rsidP="00DE56DF">
      <w:pPr>
        <w:pStyle w:val="BodyText"/>
        <w:numPr>
          <w:ilvl w:val="0"/>
          <w:numId w:val="25"/>
        </w:numPr>
        <w:spacing w:before="0"/>
        <w:rPr>
          <w:i/>
        </w:rPr>
      </w:pPr>
      <w:r>
        <w:rPr>
          <w:i/>
        </w:rPr>
        <w:t>A consumer has been successfully employed as a customer service representative for an assistive technology software company.  The consumer wants to advance in their current job but does not know what they want to do.  It is not clear if the consumer should pursue a new field or seek advancement in their current employment.</w:t>
      </w:r>
    </w:p>
    <w:p w14:paraId="2B428135" w14:textId="77777777" w:rsidR="00D90577" w:rsidRDefault="00D90577" w:rsidP="00D90577">
      <w:pPr>
        <w:pStyle w:val="BodyText"/>
        <w:spacing w:before="0"/>
        <w:ind w:left="1440"/>
        <w:rPr>
          <w:b/>
          <w:i/>
          <w:color w:val="0070C0"/>
        </w:rPr>
      </w:pPr>
    </w:p>
    <w:p w14:paraId="4F6331D6" w14:textId="16B7B2C8" w:rsidR="008D4379" w:rsidRDefault="008D4379" w:rsidP="008D4379">
      <w:pPr>
        <w:pStyle w:val="BodyText"/>
        <w:spacing w:before="0"/>
        <w:ind w:left="1440"/>
        <w:rPr>
          <w:b/>
          <w:i/>
          <w:color w:val="0070C0"/>
        </w:rPr>
      </w:pPr>
      <w:r>
        <w:rPr>
          <w:b/>
          <w:i/>
          <w:color w:val="0070C0"/>
        </w:rPr>
        <w:t>End Guidance.</w:t>
      </w:r>
    </w:p>
    <w:p w14:paraId="157BC45A" w14:textId="1F4C89F2" w:rsidR="0086251E" w:rsidRDefault="0086251E" w:rsidP="0086251E">
      <w:pPr>
        <w:pStyle w:val="BodyText"/>
        <w:spacing w:before="0"/>
        <w:rPr>
          <w:b/>
          <w:i/>
          <w:color w:val="0070C0"/>
        </w:rPr>
      </w:pPr>
    </w:p>
    <w:p w14:paraId="5654D304" w14:textId="1B077E5C" w:rsidR="0086251E" w:rsidRDefault="0086251E" w:rsidP="004B27C2">
      <w:pPr>
        <w:pStyle w:val="BodyText"/>
        <w:spacing w:before="0"/>
        <w:outlineLvl w:val="0"/>
        <w:rPr>
          <w:rFonts w:ascii="Franklin Gothic Medium" w:hAnsi="Franklin Gothic Medium"/>
          <w:bCs/>
          <w:iCs/>
          <w:sz w:val="28"/>
          <w:szCs w:val="28"/>
        </w:rPr>
      </w:pPr>
      <w:bookmarkStart w:id="7" w:name="_Toc95118794"/>
      <w:r w:rsidRPr="0086251E">
        <w:rPr>
          <w:rFonts w:ascii="Franklin Gothic Medium" w:hAnsi="Franklin Gothic Medium"/>
          <w:bCs/>
          <w:iCs/>
          <w:sz w:val="28"/>
          <w:szCs w:val="28"/>
        </w:rPr>
        <w:t xml:space="preserve">Section V.  Planning </w:t>
      </w:r>
      <w:r>
        <w:rPr>
          <w:rFonts w:ascii="Franklin Gothic Medium" w:hAnsi="Franklin Gothic Medium"/>
          <w:bCs/>
          <w:iCs/>
          <w:sz w:val="28"/>
          <w:szCs w:val="28"/>
        </w:rPr>
        <w:t xml:space="preserve">for </w:t>
      </w:r>
      <w:r w:rsidRPr="0086251E">
        <w:rPr>
          <w:rFonts w:ascii="Franklin Gothic Medium" w:hAnsi="Franklin Gothic Medium"/>
          <w:bCs/>
          <w:iCs/>
          <w:sz w:val="28"/>
          <w:szCs w:val="28"/>
        </w:rPr>
        <w:t>Post-Employment Services</w:t>
      </w:r>
      <w:bookmarkEnd w:id="7"/>
    </w:p>
    <w:p w14:paraId="09875F99" w14:textId="7AF29633" w:rsidR="0086251E" w:rsidRDefault="0086251E" w:rsidP="0086251E">
      <w:pPr>
        <w:pStyle w:val="BodyText"/>
        <w:spacing w:before="0"/>
        <w:rPr>
          <w:bCs/>
          <w:iCs/>
        </w:rPr>
      </w:pPr>
    </w:p>
    <w:p w14:paraId="47791338" w14:textId="5880AF41" w:rsidR="0086251E" w:rsidRDefault="0086251E" w:rsidP="0086251E">
      <w:pPr>
        <w:pStyle w:val="BodyText"/>
        <w:spacing w:before="0"/>
        <w:rPr>
          <w:bCs/>
          <w:iCs/>
        </w:rPr>
      </w:pPr>
      <w:r>
        <w:rPr>
          <w:bCs/>
          <w:iCs/>
        </w:rPr>
        <w:t>The need for post-employment services shall be considered at four points in the rehabilitation process:</w:t>
      </w:r>
    </w:p>
    <w:p w14:paraId="5BD042CD" w14:textId="290D0E54" w:rsidR="0086251E" w:rsidRDefault="0086251E" w:rsidP="0086251E">
      <w:pPr>
        <w:pStyle w:val="BodyText"/>
        <w:spacing w:before="0"/>
        <w:rPr>
          <w:bCs/>
          <w:iCs/>
        </w:rPr>
      </w:pPr>
    </w:p>
    <w:p w14:paraId="74EB62FC" w14:textId="5CCA2547" w:rsidR="0086251E" w:rsidRDefault="0086251E" w:rsidP="0086251E">
      <w:pPr>
        <w:pStyle w:val="BodyText"/>
        <w:numPr>
          <w:ilvl w:val="0"/>
          <w:numId w:val="26"/>
        </w:numPr>
        <w:spacing w:before="0"/>
        <w:rPr>
          <w:bCs/>
          <w:iCs/>
        </w:rPr>
      </w:pPr>
      <w:r>
        <w:rPr>
          <w:bCs/>
          <w:iCs/>
        </w:rPr>
        <w:t>At the time the IPE is written.  For example, it may be anticipated that a Social Security Disability Insurance</w:t>
      </w:r>
      <w:r w:rsidR="006242F5">
        <w:rPr>
          <w:bCs/>
          <w:iCs/>
        </w:rPr>
        <w:t xml:space="preserve"> (SSDI)</w:t>
      </w:r>
      <w:r>
        <w:rPr>
          <w:bCs/>
          <w:iCs/>
        </w:rPr>
        <w:t xml:space="preserve"> recipient may need benefits counseling adjusting to the loss of that benefit a year after beginning employment.</w:t>
      </w:r>
    </w:p>
    <w:p w14:paraId="08E60591" w14:textId="2A993FB8" w:rsidR="0086251E" w:rsidRDefault="0086251E" w:rsidP="0086251E">
      <w:pPr>
        <w:pStyle w:val="BodyText"/>
        <w:numPr>
          <w:ilvl w:val="0"/>
          <w:numId w:val="26"/>
        </w:numPr>
        <w:spacing w:before="0"/>
        <w:rPr>
          <w:bCs/>
          <w:iCs/>
        </w:rPr>
      </w:pPr>
      <w:r>
        <w:rPr>
          <w:bCs/>
          <w:iCs/>
        </w:rPr>
        <w:t>At the time of pre-closure consultation for successful employment</w:t>
      </w:r>
      <w:r w:rsidR="00542E0B">
        <w:rPr>
          <w:bCs/>
          <w:iCs/>
        </w:rPr>
        <w:t>.</w:t>
      </w:r>
    </w:p>
    <w:p w14:paraId="6FFE9C2E" w14:textId="13712A8A" w:rsidR="0086251E" w:rsidRDefault="0086251E" w:rsidP="0086251E">
      <w:pPr>
        <w:pStyle w:val="BodyText"/>
        <w:numPr>
          <w:ilvl w:val="0"/>
          <w:numId w:val="26"/>
        </w:numPr>
        <w:spacing w:before="0"/>
        <w:rPr>
          <w:bCs/>
          <w:iCs/>
        </w:rPr>
      </w:pPr>
      <w:r>
        <w:rPr>
          <w:bCs/>
          <w:iCs/>
        </w:rPr>
        <w:t xml:space="preserve">At any other </w:t>
      </w:r>
      <w:r w:rsidR="00413DA1">
        <w:rPr>
          <w:bCs/>
          <w:iCs/>
        </w:rPr>
        <w:t>time,</w:t>
      </w:r>
      <w:r>
        <w:rPr>
          <w:bCs/>
          <w:iCs/>
        </w:rPr>
        <w:t xml:space="preserve"> </w:t>
      </w:r>
      <w:r w:rsidR="00413DA1">
        <w:rPr>
          <w:bCs/>
          <w:iCs/>
        </w:rPr>
        <w:t>after</w:t>
      </w:r>
      <w:r>
        <w:rPr>
          <w:bCs/>
          <w:iCs/>
        </w:rPr>
        <w:t xml:space="preserve"> closure as successfully rehabilitated</w:t>
      </w:r>
    </w:p>
    <w:p w14:paraId="3F227269" w14:textId="11835DF7" w:rsidR="0086251E" w:rsidRDefault="00413DA1" w:rsidP="0086251E">
      <w:pPr>
        <w:pStyle w:val="BodyText"/>
        <w:numPr>
          <w:ilvl w:val="1"/>
          <w:numId w:val="26"/>
        </w:numPr>
        <w:spacing w:before="0"/>
        <w:rPr>
          <w:bCs/>
          <w:iCs/>
        </w:rPr>
      </w:pPr>
      <w:r>
        <w:rPr>
          <w:bCs/>
          <w:iCs/>
        </w:rPr>
        <w:t>If</w:t>
      </w:r>
      <w:r w:rsidR="0086251E">
        <w:rPr>
          <w:bCs/>
          <w:iCs/>
        </w:rPr>
        <w:t xml:space="preserve"> the terms in Section III above are fulfilled, and</w:t>
      </w:r>
    </w:p>
    <w:p w14:paraId="476FD5CE" w14:textId="3470E927" w:rsidR="0086251E" w:rsidRDefault="0086251E" w:rsidP="0086251E">
      <w:pPr>
        <w:pStyle w:val="BodyText"/>
        <w:numPr>
          <w:ilvl w:val="1"/>
          <w:numId w:val="26"/>
        </w:numPr>
        <w:spacing w:before="0"/>
        <w:rPr>
          <w:bCs/>
          <w:iCs/>
        </w:rPr>
      </w:pPr>
      <w:r>
        <w:rPr>
          <w:bCs/>
          <w:iCs/>
        </w:rPr>
        <w:t>If the case record still exists.</w:t>
      </w:r>
    </w:p>
    <w:p w14:paraId="6AAD544F" w14:textId="272F6F90" w:rsidR="0086251E" w:rsidRDefault="0086251E" w:rsidP="0086251E">
      <w:pPr>
        <w:pStyle w:val="BodyText"/>
        <w:numPr>
          <w:ilvl w:val="0"/>
          <w:numId w:val="26"/>
        </w:numPr>
        <w:spacing w:before="0"/>
        <w:rPr>
          <w:bCs/>
          <w:iCs/>
        </w:rPr>
      </w:pPr>
      <w:r>
        <w:rPr>
          <w:bCs/>
          <w:iCs/>
        </w:rPr>
        <w:t xml:space="preserve">If a case has been closed for more than </w:t>
      </w:r>
      <w:r w:rsidR="006242F5">
        <w:rPr>
          <w:bCs/>
          <w:iCs/>
        </w:rPr>
        <w:t>two (2)</w:t>
      </w:r>
      <w:r>
        <w:rPr>
          <w:bCs/>
          <w:iCs/>
        </w:rPr>
        <w:t xml:space="preserve"> years, then it is good practice to re-asses</w:t>
      </w:r>
      <w:r w:rsidR="006242F5">
        <w:rPr>
          <w:bCs/>
          <w:iCs/>
        </w:rPr>
        <w:t>s</w:t>
      </w:r>
      <w:r>
        <w:rPr>
          <w:bCs/>
          <w:iCs/>
        </w:rPr>
        <w:t xml:space="preserve"> the </w:t>
      </w:r>
      <w:r w:rsidR="006242F5">
        <w:rPr>
          <w:bCs/>
          <w:iCs/>
        </w:rPr>
        <w:t>individual’s</w:t>
      </w:r>
      <w:r>
        <w:rPr>
          <w:bCs/>
          <w:iCs/>
        </w:rPr>
        <w:t xml:space="preserve"> current circumstances and needs and determine if the needs can be met through post-employment or if </w:t>
      </w:r>
      <w:r w:rsidR="006242F5">
        <w:rPr>
          <w:bCs/>
          <w:iCs/>
        </w:rPr>
        <w:t>opening a new case is appropriate</w:t>
      </w:r>
      <w:r>
        <w:rPr>
          <w:bCs/>
          <w:iCs/>
        </w:rPr>
        <w:t>.</w:t>
      </w:r>
    </w:p>
    <w:p w14:paraId="04D1018C" w14:textId="3D80AA35" w:rsidR="00F03FCB" w:rsidRDefault="00F03FCB" w:rsidP="0086251E">
      <w:pPr>
        <w:pStyle w:val="BodyText"/>
        <w:numPr>
          <w:ilvl w:val="0"/>
          <w:numId w:val="26"/>
        </w:numPr>
        <w:spacing w:before="0"/>
        <w:rPr>
          <w:bCs/>
          <w:iCs/>
        </w:rPr>
      </w:pPr>
      <w:r>
        <w:rPr>
          <w:bCs/>
          <w:iCs/>
        </w:rPr>
        <w:lastRenderedPageBreak/>
        <w:t xml:space="preserve">Post-employment services </w:t>
      </w:r>
      <w:r w:rsidR="006242F5">
        <w:rPr>
          <w:bCs/>
          <w:iCs/>
        </w:rPr>
        <w:t>are</w:t>
      </w:r>
      <w:r>
        <w:rPr>
          <w:bCs/>
          <w:iCs/>
        </w:rPr>
        <w:t xml:space="preserve"> only </w:t>
      </w:r>
      <w:r w:rsidR="006242F5">
        <w:rPr>
          <w:bCs/>
          <w:iCs/>
        </w:rPr>
        <w:t xml:space="preserve">available in cases that were closed </w:t>
      </w:r>
      <w:r>
        <w:rPr>
          <w:bCs/>
          <w:iCs/>
        </w:rPr>
        <w:t>as rehabilitated.</w:t>
      </w:r>
    </w:p>
    <w:p w14:paraId="15E3C3C1" w14:textId="53759C04" w:rsidR="00F03FCB" w:rsidRDefault="00F03FCB" w:rsidP="00F03FCB">
      <w:pPr>
        <w:pStyle w:val="BodyText"/>
        <w:spacing w:before="0"/>
        <w:rPr>
          <w:bCs/>
          <w:iCs/>
        </w:rPr>
      </w:pPr>
    </w:p>
    <w:p w14:paraId="392E0157" w14:textId="249304FE" w:rsidR="00F03FCB" w:rsidRDefault="00F03FCB" w:rsidP="004B27C2">
      <w:pPr>
        <w:pStyle w:val="BodyText"/>
        <w:spacing w:before="0"/>
        <w:outlineLvl w:val="0"/>
        <w:rPr>
          <w:rFonts w:ascii="Franklin Gothic Medium" w:hAnsi="Franklin Gothic Medium"/>
          <w:bCs/>
          <w:iCs/>
          <w:sz w:val="28"/>
          <w:szCs w:val="28"/>
        </w:rPr>
      </w:pPr>
      <w:bookmarkStart w:id="8" w:name="_Toc95118795"/>
      <w:r>
        <w:rPr>
          <w:rFonts w:ascii="Franklin Gothic Medium" w:hAnsi="Franklin Gothic Medium"/>
          <w:bCs/>
          <w:iCs/>
          <w:sz w:val="28"/>
          <w:szCs w:val="28"/>
        </w:rPr>
        <w:t>Section V</w:t>
      </w:r>
      <w:r w:rsidR="00C76F5A">
        <w:rPr>
          <w:rFonts w:ascii="Franklin Gothic Medium" w:hAnsi="Franklin Gothic Medium"/>
          <w:bCs/>
          <w:iCs/>
          <w:sz w:val="28"/>
          <w:szCs w:val="28"/>
        </w:rPr>
        <w:t>I</w:t>
      </w:r>
      <w:r>
        <w:rPr>
          <w:rFonts w:ascii="Franklin Gothic Medium" w:hAnsi="Franklin Gothic Medium"/>
          <w:bCs/>
          <w:iCs/>
          <w:sz w:val="28"/>
          <w:szCs w:val="28"/>
        </w:rPr>
        <w:t xml:space="preserve">.  Closure of </w:t>
      </w:r>
      <w:r w:rsidR="00AA7D05">
        <w:rPr>
          <w:rFonts w:ascii="Franklin Gothic Medium" w:hAnsi="Franklin Gothic Medium"/>
          <w:bCs/>
          <w:iCs/>
          <w:sz w:val="28"/>
          <w:szCs w:val="28"/>
        </w:rPr>
        <w:t>Post-Employment S</w:t>
      </w:r>
      <w:r>
        <w:rPr>
          <w:rFonts w:ascii="Franklin Gothic Medium" w:hAnsi="Franklin Gothic Medium"/>
          <w:bCs/>
          <w:iCs/>
          <w:sz w:val="28"/>
          <w:szCs w:val="28"/>
        </w:rPr>
        <w:t>ervices</w:t>
      </w:r>
      <w:r w:rsidR="00AA7D05">
        <w:rPr>
          <w:rFonts w:ascii="Franklin Gothic Medium" w:hAnsi="Franklin Gothic Medium"/>
          <w:bCs/>
          <w:iCs/>
          <w:sz w:val="28"/>
          <w:szCs w:val="28"/>
        </w:rPr>
        <w:t xml:space="preserve"> (PES)</w:t>
      </w:r>
      <w:bookmarkEnd w:id="8"/>
    </w:p>
    <w:p w14:paraId="11DBAF61" w14:textId="77777777" w:rsidR="00413DA1" w:rsidRDefault="00413DA1" w:rsidP="00413DA1">
      <w:pPr>
        <w:pStyle w:val="BodyText"/>
        <w:spacing w:before="0"/>
        <w:ind w:left="720"/>
        <w:rPr>
          <w:bCs/>
          <w:iCs/>
        </w:rPr>
      </w:pPr>
    </w:p>
    <w:p w14:paraId="6113A8DB" w14:textId="5F188119" w:rsidR="00F03FCB" w:rsidRDefault="00F03FCB" w:rsidP="00F03FCB">
      <w:pPr>
        <w:pStyle w:val="BodyText"/>
        <w:numPr>
          <w:ilvl w:val="0"/>
          <w:numId w:val="28"/>
        </w:numPr>
        <w:spacing w:before="0"/>
        <w:rPr>
          <w:bCs/>
          <w:iCs/>
        </w:rPr>
      </w:pPr>
      <w:r>
        <w:rPr>
          <w:bCs/>
          <w:iCs/>
        </w:rPr>
        <w:t xml:space="preserve">If after opening a PES case the </w:t>
      </w:r>
      <w:r w:rsidR="00AA7D05">
        <w:rPr>
          <w:bCs/>
          <w:iCs/>
        </w:rPr>
        <w:t xml:space="preserve">DBVI </w:t>
      </w:r>
      <w:r>
        <w:rPr>
          <w:bCs/>
          <w:iCs/>
        </w:rPr>
        <w:t xml:space="preserve">counselor discovers the </w:t>
      </w:r>
      <w:r w:rsidR="00B47D5A">
        <w:rPr>
          <w:bCs/>
          <w:iCs/>
        </w:rPr>
        <w:t>individual</w:t>
      </w:r>
      <w:r>
        <w:rPr>
          <w:bCs/>
          <w:iCs/>
        </w:rPr>
        <w:t>’s needs are more complex than initially understood, they may consider closing the PES case and opening a new case.</w:t>
      </w:r>
    </w:p>
    <w:p w14:paraId="66A7BD10" w14:textId="77777777" w:rsidR="00F03FCB" w:rsidRDefault="00F03FCB" w:rsidP="00F03FCB">
      <w:pPr>
        <w:pStyle w:val="BodyText"/>
        <w:spacing w:before="0"/>
        <w:ind w:left="720"/>
        <w:rPr>
          <w:bCs/>
          <w:iCs/>
        </w:rPr>
      </w:pPr>
    </w:p>
    <w:p w14:paraId="3AAE845E" w14:textId="231385E0" w:rsidR="00F03FCB" w:rsidRDefault="00F03FCB" w:rsidP="00F03FCB">
      <w:pPr>
        <w:pStyle w:val="BodyText"/>
        <w:numPr>
          <w:ilvl w:val="0"/>
          <w:numId w:val="28"/>
        </w:numPr>
        <w:spacing w:before="0"/>
        <w:rPr>
          <w:bCs/>
          <w:iCs/>
        </w:rPr>
      </w:pPr>
      <w:r>
        <w:rPr>
          <w:bCs/>
          <w:iCs/>
        </w:rPr>
        <w:t xml:space="preserve">Post-employment services will end when the employment is at a level where the </w:t>
      </w:r>
      <w:r w:rsidR="00AA7D05">
        <w:rPr>
          <w:bCs/>
          <w:iCs/>
        </w:rPr>
        <w:t>individual</w:t>
      </w:r>
      <w:r>
        <w:rPr>
          <w:bCs/>
          <w:iCs/>
        </w:rPr>
        <w:t xml:space="preserve"> can function independent of the services as determined by the </w:t>
      </w:r>
      <w:r w:rsidR="00AA7D05">
        <w:rPr>
          <w:bCs/>
          <w:iCs/>
        </w:rPr>
        <w:t xml:space="preserve">DBVI </w:t>
      </w:r>
      <w:r>
        <w:rPr>
          <w:bCs/>
          <w:iCs/>
        </w:rPr>
        <w:t>counselor and individual.  If the counselor determines that post-employment services are not providing the desire</w:t>
      </w:r>
      <w:r w:rsidR="00413DA1">
        <w:rPr>
          <w:bCs/>
          <w:iCs/>
        </w:rPr>
        <w:t>d</w:t>
      </w:r>
      <w:r>
        <w:rPr>
          <w:bCs/>
          <w:iCs/>
        </w:rPr>
        <w:t xml:space="preserve"> result within the planned timeframe, alternative solutions shall be considered and/or a new case opened.</w:t>
      </w:r>
    </w:p>
    <w:p w14:paraId="2959BCE8" w14:textId="77777777" w:rsidR="00F03FCB" w:rsidRDefault="00F03FCB" w:rsidP="00F03FCB">
      <w:pPr>
        <w:pStyle w:val="BodyText"/>
        <w:spacing w:before="0"/>
        <w:rPr>
          <w:bCs/>
          <w:iCs/>
        </w:rPr>
      </w:pPr>
    </w:p>
    <w:p w14:paraId="06C54B3A" w14:textId="662EFDD5" w:rsidR="00F03FCB" w:rsidRPr="00F03FCB" w:rsidRDefault="002421A2" w:rsidP="00F03FCB">
      <w:pPr>
        <w:pStyle w:val="BodyText"/>
        <w:numPr>
          <w:ilvl w:val="0"/>
          <w:numId w:val="28"/>
        </w:numPr>
        <w:spacing w:before="0"/>
        <w:rPr>
          <w:bCs/>
          <w:iCs/>
        </w:rPr>
      </w:pPr>
      <w:r>
        <w:rPr>
          <w:bCs/>
          <w:iCs/>
        </w:rPr>
        <w:t>“</w:t>
      </w:r>
      <w:r w:rsidR="00F03FCB" w:rsidRPr="002421A2">
        <w:rPr>
          <w:bCs/>
          <w:iCs/>
        </w:rPr>
        <w:t>Closed PES</w:t>
      </w:r>
      <w:r>
        <w:rPr>
          <w:bCs/>
          <w:iCs/>
        </w:rPr>
        <w:t>”</w:t>
      </w:r>
      <w:r w:rsidR="00F03FCB">
        <w:rPr>
          <w:bCs/>
          <w:iCs/>
        </w:rPr>
        <w:t xml:space="preserve"> is used to designate termination of post-employment services whether successful or unsuccessful.  If successful, the </w:t>
      </w:r>
      <w:r w:rsidR="00A71D8B">
        <w:rPr>
          <w:bCs/>
          <w:iCs/>
        </w:rPr>
        <w:t xml:space="preserve">DBVI </w:t>
      </w:r>
      <w:r w:rsidR="00F03FCB">
        <w:rPr>
          <w:bCs/>
          <w:iCs/>
        </w:rPr>
        <w:t xml:space="preserve">counselor will document in the case </w:t>
      </w:r>
      <w:r w:rsidR="00A71D8B">
        <w:rPr>
          <w:bCs/>
          <w:iCs/>
        </w:rPr>
        <w:t>record</w:t>
      </w:r>
      <w:r w:rsidR="00F03FCB">
        <w:rPr>
          <w:bCs/>
          <w:iCs/>
        </w:rPr>
        <w:t xml:space="preserve"> that the individual is stable in the job and </w:t>
      </w:r>
      <w:r w:rsidR="00A71D8B">
        <w:rPr>
          <w:bCs/>
          <w:iCs/>
        </w:rPr>
        <w:t xml:space="preserve">they do </w:t>
      </w:r>
      <w:r w:rsidR="00F03FCB">
        <w:rPr>
          <w:bCs/>
          <w:iCs/>
        </w:rPr>
        <w:t>not anticipate any immediate future service needs.</w:t>
      </w:r>
    </w:p>
    <w:p w14:paraId="12BA3B78" w14:textId="5E788CCE" w:rsidR="00F82D69" w:rsidRDefault="00F82D69" w:rsidP="00C14884">
      <w:pPr>
        <w:pStyle w:val="BodyText"/>
        <w:outlineLvl w:val="0"/>
        <w:rPr>
          <w:rFonts w:ascii="Franklin Gothic Medium" w:hAnsi="Franklin Gothic Medium"/>
          <w:sz w:val="28"/>
          <w:szCs w:val="28"/>
        </w:rPr>
      </w:pPr>
      <w:bookmarkStart w:id="9" w:name="_Toc95118796"/>
      <w:bookmarkEnd w:id="6"/>
      <w:r>
        <w:rPr>
          <w:rFonts w:ascii="Franklin Gothic Medium" w:hAnsi="Franklin Gothic Medium"/>
          <w:sz w:val="28"/>
          <w:szCs w:val="28"/>
        </w:rPr>
        <w:t>Section VII. Spending Guidelines</w:t>
      </w:r>
      <w:bookmarkEnd w:id="9"/>
    </w:p>
    <w:p w14:paraId="51BEA948" w14:textId="4D6DF1D5" w:rsidR="00F82D69" w:rsidRDefault="00F82D69" w:rsidP="00F82D69">
      <w:pPr>
        <w:pStyle w:val="BodyText"/>
        <w:numPr>
          <w:ilvl w:val="0"/>
          <w:numId w:val="29"/>
        </w:numPr>
      </w:pPr>
      <w:r>
        <w:t xml:space="preserve"> The Division for the Blind and Visually Impaired (DBVI), with </w:t>
      </w:r>
      <w:r w:rsidR="007A2449">
        <w:t>input</w:t>
      </w:r>
      <w:r>
        <w:t xml:space="preserve"> from the State Rehabilitation Council, shall establish and maintain reasonable spending guidelines which shall be reviewed annually.</w:t>
      </w:r>
    </w:p>
    <w:p w14:paraId="3664CA59" w14:textId="62626F48" w:rsidR="00F82D69" w:rsidRDefault="00F82D69" w:rsidP="00F82D69">
      <w:pPr>
        <w:pStyle w:val="BodyText"/>
        <w:numPr>
          <w:ilvl w:val="0"/>
          <w:numId w:val="29"/>
        </w:numPr>
      </w:pPr>
      <w:r>
        <w:t>DBVI may not place absolute dollar limits on a specific services or total services provided.  However, it can set reasonable spending guidelines to ensure reasonable costs to the program.  The guidelines may not be so low as to deny the individual a necessary service.</w:t>
      </w:r>
    </w:p>
    <w:p w14:paraId="7553FAE3" w14:textId="5D4D09CA" w:rsidR="00F82D69" w:rsidRDefault="00F82D69" w:rsidP="00F82D69">
      <w:pPr>
        <w:pStyle w:val="BodyText"/>
        <w:numPr>
          <w:ilvl w:val="0"/>
          <w:numId w:val="29"/>
        </w:numPr>
      </w:pPr>
      <w:r>
        <w:t>When considering exceptions to the spending guidelines, the Director or designee must consider the individual’s ability to contribute to their services.  The individual’s contribution must be:</w:t>
      </w:r>
    </w:p>
    <w:p w14:paraId="6F7D7E12" w14:textId="1BA02EA9" w:rsidR="00F82D69" w:rsidRDefault="00F82D69" w:rsidP="007A2449">
      <w:pPr>
        <w:pStyle w:val="BodyText"/>
        <w:numPr>
          <w:ilvl w:val="0"/>
          <w:numId w:val="30"/>
        </w:numPr>
        <w:spacing w:before="0"/>
      </w:pPr>
      <w:r>
        <w:t>Reasonable</w:t>
      </w:r>
    </w:p>
    <w:p w14:paraId="6B2ACC74" w14:textId="3E758B2F" w:rsidR="00F82D69" w:rsidRDefault="00882DC1" w:rsidP="007A2449">
      <w:pPr>
        <w:pStyle w:val="BodyText"/>
        <w:numPr>
          <w:ilvl w:val="0"/>
          <w:numId w:val="30"/>
        </w:numPr>
        <w:spacing w:before="0"/>
      </w:pPr>
      <w:r>
        <w:t>Based on the individual’s financial need; and</w:t>
      </w:r>
    </w:p>
    <w:p w14:paraId="3E6968C9" w14:textId="46117243" w:rsidR="00882DC1" w:rsidRDefault="00882DC1" w:rsidP="007A2449">
      <w:pPr>
        <w:pStyle w:val="BodyText"/>
        <w:numPr>
          <w:ilvl w:val="0"/>
          <w:numId w:val="30"/>
        </w:numPr>
        <w:spacing w:before="0"/>
      </w:pPr>
      <w:r>
        <w:t>Not so high as to effectively deny the individual a necessary service.</w:t>
      </w:r>
    </w:p>
    <w:p w14:paraId="2659517A" w14:textId="442F89B9" w:rsidR="00882DC1" w:rsidRDefault="00882DC1" w:rsidP="00882DC1">
      <w:pPr>
        <w:pStyle w:val="BodyText"/>
        <w:numPr>
          <w:ilvl w:val="0"/>
          <w:numId w:val="29"/>
        </w:numPr>
      </w:pPr>
      <w:r>
        <w:t>DBVI cannot require individuals who are SSDI or SSI beneficiaries to provide funding toward their services, including post-secondary education and training.</w:t>
      </w:r>
    </w:p>
    <w:p w14:paraId="6EC353C6" w14:textId="345E1B4E" w:rsidR="00882DC1" w:rsidRPr="00F82D69" w:rsidRDefault="00882DC1" w:rsidP="00882DC1">
      <w:pPr>
        <w:pStyle w:val="BodyText"/>
        <w:numPr>
          <w:ilvl w:val="0"/>
          <w:numId w:val="29"/>
        </w:numPr>
      </w:pPr>
      <w:r>
        <w:t>The spending guideline for PES is $5,000 unless an exception is granted in accordance with B. and C. of Section VII. of this policy.</w:t>
      </w:r>
    </w:p>
    <w:sectPr w:rsidR="00882DC1" w:rsidRPr="00F82D69" w:rsidSect="00CC61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7031" w14:textId="77777777" w:rsidR="00BE3882" w:rsidRDefault="00BE3882" w:rsidP="00B847F0">
      <w:r>
        <w:separator/>
      </w:r>
    </w:p>
  </w:endnote>
  <w:endnote w:type="continuationSeparator" w:id="0">
    <w:p w14:paraId="7F5568C5" w14:textId="77777777" w:rsidR="00BE3882" w:rsidRDefault="00BE3882" w:rsidP="00B8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11324"/>
      <w:docPartObj>
        <w:docPartGallery w:val="Page Numbers (Bottom of Page)"/>
        <w:docPartUnique/>
      </w:docPartObj>
    </w:sdtPr>
    <w:sdtEndPr/>
    <w:sdtContent>
      <w:p w14:paraId="03715744" w14:textId="1587210C" w:rsidR="00BE3882" w:rsidRPr="00311862" w:rsidRDefault="00BE3882" w:rsidP="00B847F0">
        <w:pPr>
          <w:pStyle w:val="Footer"/>
        </w:pPr>
        <w:r>
          <w:t xml:space="preserve">Policy and Procedures Manual | Vermont </w:t>
        </w:r>
        <w:r w:rsidRPr="00FE0D76">
          <w:t xml:space="preserve">Division </w:t>
        </w:r>
        <w:r>
          <w:t>for the Blind and Visually Impaired</w:t>
        </w:r>
        <w:r>
          <w:tab/>
          <w:t xml:space="preserve">page </w:t>
        </w:r>
        <w:r w:rsidRPr="00FE0D76">
          <w:rPr>
            <w:noProof w:val="0"/>
          </w:rPr>
          <w:fldChar w:fldCharType="begin"/>
        </w:r>
        <w:r w:rsidRPr="00FE0D76">
          <w:instrText xml:space="preserve"> PAGE   \* MERGEFORMAT </w:instrText>
        </w:r>
        <w:r w:rsidRPr="00FE0D76">
          <w:rPr>
            <w:noProof w:val="0"/>
          </w:rPr>
          <w:fldChar w:fldCharType="separate"/>
        </w:r>
        <w:r w:rsidR="00757698">
          <w:t>1</w:t>
        </w:r>
        <w:r w:rsidRPr="00FE0D7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C0B2" w14:textId="77777777" w:rsidR="00BE3882" w:rsidRDefault="00BE3882" w:rsidP="00B847F0">
      <w:r>
        <w:separator/>
      </w:r>
    </w:p>
  </w:footnote>
  <w:footnote w:type="continuationSeparator" w:id="0">
    <w:p w14:paraId="19DF9FDD" w14:textId="77777777" w:rsidR="00BE3882" w:rsidRDefault="00BE3882" w:rsidP="00B8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5BB1" w14:textId="08EBA0B9" w:rsidR="00BE3882" w:rsidRDefault="0097532D" w:rsidP="00E66FFC">
    <w:pPr>
      <w:pStyle w:val="Header"/>
    </w:pPr>
    <w:r>
      <w:fldChar w:fldCharType="begin"/>
    </w:r>
    <w:r>
      <w:instrText xml:space="preserve"> REF  ChapterNumber  \* MERGEFORMAT </w:instrText>
    </w:r>
    <w:r>
      <w:fldChar w:fldCharType="separate"/>
    </w:r>
    <w:r w:rsidR="00757698" w:rsidRPr="00217CE9">
      <w:t>Chapter</w:t>
    </w:r>
    <w:r w:rsidR="00161F32">
      <w:t xml:space="preserve"> 17</w:t>
    </w:r>
    <w:r w:rsidR="00757698">
      <w:t>:</w:t>
    </w:r>
    <w:r>
      <w:fldChar w:fldCharType="end"/>
    </w:r>
    <w:r w:rsidR="00BE3882">
      <w:t xml:space="preserve"> </w:t>
    </w:r>
    <w:fldSimple w:instr=" REF ChapterTitle  \* MERGEFORMAT ">
      <w:r w:rsidR="00757698">
        <w:t>P</w:t>
      </w:r>
    </w:fldSimple>
    <w:r w:rsidR="00161F32">
      <w:t>ost-Employment Services</w:t>
    </w:r>
  </w:p>
  <w:p w14:paraId="3BAE870B" w14:textId="3960CA22" w:rsidR="00BE3882" w:rsidRPr="00D155D2" w:rsidRDefault="00BE3882" w:rsidP="00BC5122">
    <w:pPr>
      <w:pStyle w:val="Header"/>
      <w:rPr>
        <w:rStyle w:val="Emphasis"/>
        <w:rFonts w:ascii="Franklin Gothic Book" w:hAnsi="Franklin Gothic Book"/>
        <w:iCs w:val="0"/>
        <w:color w:val="auto"/>
        <w:sz w:val="20"/>
        <w:szCs w:val="20"/>
      </w:rPr>
    </w:pPr>
    <w:r w:rsidRPr="00D155D2">
      <w:rPr>
        <w:rStyle w:val="Emphasis"/>
        <w:rFonts w:ascii="Franklin Gothic Book" w:hAnsi="Franklin Gothic Book"/>
        <w:iCs w:val="0"/>
        <w:color w:val="auto"/>
        <w:sz w:val="20"/>
        <w:szCs w:val="20"/>
      </w:rPr>
      <w:t xml:space="preserve">Revised: </w:t>
    </w:r>
    <w:r w:rsidRPr="00D155D2">
      <w:rPr>
        <w:sz w:val="20"/>
        <w:szCs w:val="20"/>
      </w:rPr>
      <w:t xml:space="preserve"> </w:t>
    </w:r>
    <w:r w:rsidR="00A008FD">
      <w:rPr>
        <w:sz w:val="20"/>
        <w:szCs w:val="20"/>
      </w:rPr>
      <w:t>February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B8654A8"/>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FE22F71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7E90EA5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36AF9B0"/>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BF6EBC2"/>
    <w:lvl w:ilvl="0">
      <w:start w:val="1"/>
      <w:numFmt w:val="bullet"/>
      <w:pStyle w:val="ListBullet2"/>
      <w:lvlText w:val=""/>
      <w:lvlJc w:val="left"/>
      <w:pPr>
        <w:ind w:left="2160" w:hanging="360"/>
      </w:pPr>
      <w:rPr>
        <w:rFonts w:ascii="Wingdings" w:hAnsi="Wingdings" w:hint="default"/>
      </w:rPr>
    </w:lvl>
  </w:abstractNum>
  <w:abstractNum w:abstractNumId="5" w15:restartNumberingAfterBreak="0">
    <w:nsid w:val="FFFFFF89"/>
    <w:multiLevelType w:val="singleLevel"/>
    <w:tmpl w:val="7FFAFC3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4295A48"/>
    <w:multiLevelType w:val="hybridMultilevel"/>
    <w:tmpl w:val="78EA36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03559C"/>
    <w:multiLevelType w:val="hybridMultilevel"/>
    <w:tmpl w:val="B1709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1A6018"/>
    <w:multiLevelType w:val="hybridMultilevel"/>
    <w:tmpl w:val="6BAAD4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ABF6209"/>
    <w:multiLevelType w:val="hybridMultilevel"/>
    <w:tmpl w:val="9D4035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0C1D750A"/>
    <w:multiLevelType w:val="hybridMultilevel"/>
    <w:tmpl w:val="C9229E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8F0F97"/>
    <w:multiLevelType w:val="hybridMultilevel"/>
    <w:tmpl w:val="6AEA2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75E5F"/>
    <w:multiLevelType w:val="hybridMultilevel"/>
    <w:tmpl w:val="3E26B3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FFB08D9"/>
    <w:multiLevelType w:val="hybridMultilevel"/>
    <w:tmpl w:val="00AC0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513D3"/>
    <w:multiLevelType w:val="hybridMultilevel"/>
    <w:tmpl w:val="7E168C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B7533D"/>
    <w:multiLevelType w:val="hybridMultilevel"/>
    <w:tmpl w:val="A88C86CC"/>
    <w:lvl w:ilvl="0" w:tplc="E33E76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005B1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3B880DE2"/>
    <w:multiLevelType w:val="multilevel"/>
    <w:tmpl w:val="58E6F87E"/>
    <w:numStyleLink w:val="PolicyList"/>
  </w:abstractNum>
  <w:abstractNum w:abstractNumId="18" w15:restartNumberingAfterBreak="0">
    <w:nsid w:val="405F3FD5"/>
    <w:multiLevelType w:val="hybridMultilevel"/>
    <w:tmpl w:val="3604BA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44180"/>
    <w:multiLevelType w:val="hybridMultilevel"/>
    <w:tmpl w:val="226E2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F6DA3"/>
    <w:multiLevelType w:val="hybridMultilevel"/>
    <w:tmpl w:val="A82E5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953666"/>
    <w:multiLevelType w:val="multilevel"/>
    <w:tmpl w:val="95BCE464"/>
    <w:styleLink w:val="GuidanceBullets"/>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22" w15:restartNumberingAfterBreak="0">
    <w:nsid w:val="50FD4D91"/>
    <w:multiLevelType w:val="multilevel"/>
    <w:tmpl w:val="5BD2212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5258AE"/>
    <w:multiLevelType w:val="multilevel"/>
    <w:tmpl w:val="BE24F0E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68C23287"/>
    <w:multiLevelType w:val="hybridMultilevel"/>
    <w:tmpl w:val="EC2E55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4D3138"/>
    <w:multiLevelType w:val="multilevel"/>
    <w:tmpl w:val="4FE6B6C8"/>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B634AC"/>
    <w:multiLevelType w:val="multilevel"/>
    <w:tmpl w:val="58E6F87E"/>
    <w:styleLink w:val="PolicyList"/>
    <w:lvl w:ilvl="0">
      <w:start w:val="1"/>
      <w:numFmt w:val="upperLetter"/>
      <w:lvlText w:val="%1."/>
      <w:lvlJc w:val="left"/>
      <w:pPr>
        <w:tabs>
          <w:tab w:val="num" w:pos="1440"/>
        </w:tabs>
        <w:ind w:left="1440" w:hanging="1440"/>
      </w:pPr>
      <w:rPr>
        <w:rFonts w:ascii="Franklin Gothic Book" w:eastAsiaTheme="minorHAnsi" w:hAnsi="Franklin Gothic Book" w:cstheme="minorBidi"/>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27" w15:restartNumberingAfterBreak="0">
    <w:nsid w:val="74606A65"/>
    <w:multiLevelType w:val="hybridMultilevel"/>
    <w:tmpl w:val="7ED2B0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1B7189"/>
    <w:multiLevelType w:val="multilevel"/>
    <w:tmpl w:val="4C966CE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C092F7D"/>
    <w:multiLevelType w:val="hybridMultilevel"/>
    <w:tmpl w:val="2B4C5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676114">
    <w:abstractNumId w:val="21"/>
  </w:num>
  <w:num w:numId="2" w16cid:durableId="748575758">
    <w:abstractNumId w:val="26"/>
  </w:num>
  <w:num w:numId="3" w16cid:durableId="660811741">
    <w:abstractNumId w:val="5"/>
  </w:num>
  <w:num w:numId="4" w16cid:durableId="1691249872">
    <w:abstractNumId w:val="4"/>
  </w:num>
  <w:num w:numId="5" w16cid:durableId="327054776">
    <w:abstractNumId w:val="3"/>
  </w:num>
  <w:num w:numId="6" w16cid:durableId="84767382">
    <w:abstractNumId w:val="2"/>
  </w:num>
  <w:num w:numId="7" w16cid:durableId="162859697">
    <w:abstractNumId w:val="1"/>
  </w:num>
  <w:num w:numId="8" w16cid:durableId="1728914747">
    <w:abstractNumId w:val="0"/>
  </w:num>
  <w:num w:numId="9" w16cid:durableId="1878856986">
    <w:abstractNumId w:val="16"/>
  </w:num>
  <w:num w:numId="10" w16cid:durableId="1671323557">
    <w:abstractNumId w:val="23"/>
  </w:num>
  <w:num w:numId="11" w16cid:durableId="213738637">
    <w:abstractNumId w:val="28"/>
  </w:num>
  <w:num w:numId="12" w16cid:durableId="57828548">
    <w:abstractNumId w:val="22"/>
  </w:num>
  <w:num w:numId="13" w16cid:durableId="532772243">
    <w:abstractNumId w:val="25"/>
  </w:num>
  <w:num w:numId="14" w16cid:durableId="1950813676">
    <w:abstractNumId w:val="17"/>
  </w:num>
  <w:num w:numId="15" w16cid:durableId="1583179053">
    <w:abstractNumId w:val="19"/>
  </w:num>
  <w:num w:numId="16" w16cid:durableId="1210607088">
    <w:abstractNumId w:val="9"/>
  </w:num>
  <w:num w:numId="17" w16cid:durableId="1761097948">
    <w:abstractNumId w:val="20"/>
  </w:num>
  <w:num w:numId="18" w16cid:durableId="819616689">
    <w:abstractNumId w:val="18"/>
  </w:num>
  <w:num w:numId="19" w16cid:durableId="967054752">
    <w:abstractNumId w:val="6"/>
  </w:num>
  <w:num w:numId="20" w16cid:durableId="1226258036">
    <w:abstractNumId w:val="14"/>
  </w:num>
  <w:num w:numId="21" w16cid:durableId="1851866972">
    <w:abstractNumId w:val="15"/>
  </w:num>
  <w:num w:numId="22" w16cid:durableId="1686708882">
    <w:abstractNumId w:val="11"/>
  </w:num>
  <w:num w:numId="23" w16cid:durableId="743643109">
    <w:abstractNumId w:val="29"/>
  </w:num>
  <w:num w:numId="24" w16cid:durableId="1889027925">
    <w:abstractNumId w:val="12"/>
  </w:num>
  <w:num w:numId="25" w16cid:durableId="2105412473">
    <w:abstractNumId w:val="8"/>
  </w:num>
  <w:num w:numId="26" w16cid:durableId="16322387">
    <w:abstractNumId w:val="10"/>
  </w:num>
  <w:num w:numId="27" w16cid:durableId="265623569">
    <w:abstractNumId w:val="7"/>
  </w:num>
  <w:num w:numId="28" w16cid:durableId="1480682575">
    <w:abstractNumId w:val="13"/>
  </w:num>
  <w:num w:numId="29" w16cid:durableId="1296368558">
    <w:abstractNumId w:val="24"/>
  </w:num>
  <w:num w:numId="30" w16cid:durableId="572282241">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1F"/>
    <w:rsid w:val="00025E4E"/>
    <w:rsid w:val="00026CEA"/>
    <w:rsid w:val="00027382"/>
    <w:rsid w:val="00070A04"/>
    <w:rsid w:val="00070FC8"/>
    <w:rsid w:val="000824EF"/>
    <w:rsid w:val="00082EE2"/>
    <w:rsid w:val="00090CCC"/>
    <w:rsid w:val="000B7FAC"/>
    <w:rsid w:val="000D3BC7"/>
    <w:rsid w:val="000D63E3"/>
    <w:rsid w:val="000E5EAD"/>
    <w:rsid w:val="000F4A20"/>
    <w:rsid w:val="00116D2A"/>
    <w:rsid w:val="00121F48"/>
    <w:rsid w:val="00152EFC"/>
    <w:rsid w:val="00161F32"/>
    <w:rsid w:val="00171F93"/>
    <w:rsid w:val="0018485A"/>
    <w:rsid w:val="001A08C2"/>
    <w:rsid w:val="001A20BB"/>
    <w:rsid w:val="001A6448"/>
    <w:rsid w:val="001C35CC"/>
    <w:rsid w:val="001C6270"/>
    <w:rsid w:val="001D14BC"/>
    <w:rsid w:val="001D682B"/>
    <w:rsid w:val="001F146C"/>
    <w:rsid w:val="001F20E4"/>
    <w:rsid w:val="001F5784"/>
    <w:rsid w:val="00200D4D"/>
    <w:rsid w:val="002017E7"/>
    <w:rsid w:val="0021151E"/>
    <w:rsid w:val="00217CE9"/>
    <w:rsid w:val="002421A2"/>
    <w:rsid w:val="00256244"/>
    <w:rsid w:val="002671FD"/>
    <w:rsid w:val="0027370E"/>
    <w:rsid w:val="002850DC"/>
    <w:rsid w:val="002A183B"/>
    <w:rsid w:val="003076AD"/>
    <w:rsid w:val="00307822"/>
    <w:rsid w:val="00311862"/>
    <w:rsid w:val="0032251B"/>
    <w:rsid w:val="00334DFD"/>
    <w:rsid w:val="00340C6E"/>
    <w:rsid w:val="0036205E"/>
    <w:rsid w:val="0037675D"/>
    <w:rsid w:val="00382BBF"/>
    <w:rsid w:val="00383F81"/>
    <w:rsid w:val="00390203"/>
    <w:rsid w:val="00396789"/>
    <w:rsid w:val="003C2CE1"/>
    <w:rsid w:val="003D0B28"/>
    <w:rsid w:val="003D723C"/>
    <w:rsid w:val="003E78CD"/>
    <w:rsid w:val="003F229D"/>
    <w:rsid w:val="00413DA1"/>
    <w:rsid w:val="004157DC"/>
    <w:rsid w:val="00444D16"/>
    <w:rsid w:val="00472CC3"/>
    <w:rsid w:val="004761E0"/>
    <w:rsid w:val="00482915"/>
    <w:rsid w:val="004877F3"/>
    <w:rsid w:val="00497E1E"/>
    <w:rsid w:val="004A3856"/>
    <w:rsid w:val="004A586E"/>
    <w:rsid w:val="004A777D"/>
    <w:rsid w:val="004B27C2"/>
    <w:rsid w:val="004B75E2"/>
    <w:rsid w:val="004C2984"/>
    <w:rsid w:val="004C747C"/>
    <w:rsid w:val="004E33B5"/>
    <w:rsid w:val="004E766E"/>
    <w:rsid w:val="00523947"/>
    <w:rsid w:val="00531CA5"/>
    <w:rsid w:val="00542BBB"/>
    <w:rsid w:val="00542E0B"/>
    <w:rsid w:val="00543296"/>
    <w:rsid w:val="00550F23"/>
    <w:rsid w:val="0059376F"/>
    <w:rsid w:val="005A1313"/>
    <w:rsid w:val="005A754A"/>
    <w:rsid w:val="005C7B76"/>
    <w:rsid w:val="005D576B"/>
    <w:rsid w:val="005E087B"/>
    <w:rsid w:val="006202DD"/>
    <w:rsid w:val="00620C10"/>
    <w:rsid w:val="006242F5"/>
    <w:rsid w:val="006310BF"/>
    <w:rsid w:val="006417F4"/>
    <w:rsid w:val="00643C4C"/>
    <w:rsid w:val="00660DFA"/>
    <w:rsid w:val="0066230F"/>
    <w:rsid w:val="00677F3C"/>
    <w:rsid w:val="006800DC"/>
    <w:rsid w:val="00690660"/>
    <w:rsid w:val="00695F14"/>
    <w:rsid w:val="006A05B5"/>
    <w:rsid w:val="006B2108"/>
    <w:rsid w:val="006B3F6A"/>
    <w:rsid w:val="006C4BCE"/>
    <w:rsid w:val="006C668C"/>
    <w:rsid w:val="006C7DEE"/>
    <w:rsid w:val="006F4B06"/>
    <w:rsid w:val="0070105A"/>
    <w:rsid w:val="007154E1"/>
    <w:rsid w:val="00725564"/>
    <w:rsid w:val="00733637"/>
    <w:rsid w:val="00756A61"/>
    <w:rsid w:val="00757698"/>
    <w:rsid w:val="007609E8"/>
    <w:rsid w:val="00760B87"/>
    <w:rsid w:val="007738D2"/>
    <w:rsid w:val="00776F82"/>
    <w:rsid w:val="00786C3D"/>
    <w:rsid w:val="007A04D9"/>
    <w:rsid w:val="007A21DE"/>
    <w:rsid w:val="007A2449"/>
    <w:rsid w:val="007A5B24"/>
    <w:rsid w:val="007B5CDA"/>
    <w:rsid w:val="007C321E"/>
    <w:rsid w:val="007C3265"/>
    <w:rsid w:val="007C6B53"/>
    <w:rsid w:val="007D69D1"/>
    <w:rsid w:val="007D7944"/>
    <w:rsid w:val="007E3695"/>
    <w:rsid w:val="007F0DF8"/>
    <w:rsid w:val="007F70A4"/>
    <w:rsid w:val="00831675"/>
    <w:rsid w:val="00835F24"/>
    <w:rsid w:val="008474D9"/>
    <w:rsid w:val="00854747"/>
    <w:rsid w:val="0086251E"/>
    <w:rsid w:val="00867EEB"/>
    <w:rsid w:val="00882762"/>
    <w:rsid w:val="00882DC1"/>
    <w:rsid w:val="008A34F5"/>
    <w:rsid w:val="008A481F"/>
    <w:rsid w:val="008A55F0"/>
    <w:rsid w:val="008C52B4"/>
    <w:rsid w:val="008D124B"/>
    <w:rsid w:val="008D4379"/>
    <w:rsid w:val="008D67E8"/>
    <w:rsid w:val="008D6AD9"/>
    <w:rsid w:val="008F4D6B"/>
    <w:rsid w:val="00911281"/>
    <w:rsid w:val="00915CA6"/>
    <w:rsid w:val="00916D2A"/>
    <w:rsid w:val="00917941"/>
    <w:rsid w:val="00923F84"/>
    <w:rsid w:val="00934A08"/>
    <w:rsid w:val="00955689"/>
    <w:rsid w:val="0096648C"/>
    <w:rsid w:val="0097532D"/>
    <w:rsid w:val="00976949"/>
    <w:rsid w:val="00984B15"/>
    <w:rsid w:val="0099333A"/>
    <w:rsid w:val="009B0986"/>
    <w:rsid w:val="009D2F48"/>
    <w:rsid w:val="00A008FD"/>
    <w:rsid w:val="00A01FF8"/>
    <w:rsid w:val="00A22510"/>
    <w:rsid w:val="00A32ABB"/>
    <w:rsid w:val="00A34A37"/>
    <w:rsid w:val="00A36337"/>
    <w:rsid w:val="00A4297C"/>
    <w:rsid w:val="00A62B1D"/>
    <w:rsid w:val="00A65035"/>
    <w:rsid w:val="00A67426"/>
    <w:rsid w:val="00A71D8B"/>
    <w:rsid w:val="00A86178"/>
    <w:rsid w:val="00AA54D2"/>
    <w:rsid w:val="00AA74B7"/>
    <w:rsid w:val="00AA7D05"/>
    <w:rsid w:val="00AB12B3"/>
    <w:rsid w:val="00AD204A"/>
    <w:rsid w:val="00AF5A00"/>
    <w:rsid w:val="00B04D4C"/>
    <w:rsid w:val="00B07D50"/>
    <w:rsid w:val="00B20CDA"/>
    <w:rsid w:val="00B30C70"/>
    <w:rsid w:val="00B326E1"/>
    <w:rsid w:val="00B47D5A"/>
    <w:rsid w:val="00B726A5"/>
    <w:rsid w:val="00B73DB4"/>
    <w:rsid w:val="00B847F0"/>
    <w:rsid w:val="00B85871"/>
    <w:rsid w:val="00B86EE0"/>
    <w:rsid w:val="00B90AFB"/>
    <w:rsid w:val="00B93195"/>
    <w:rsid w:val="00BA3500"/>
    <w:rsid w:val="00BA5FCC"/>
    <w:rsid w:val="00BC5122"/>
    <w:rsid w:val="00BE0BC0"/>
    <w:rsid w:val="00BE1D28"/>
    <w:rsid w:val="00BE3882"/>
    <w:rsid w:val="00BF5AFE"/>
    <w:rsid w:val="00C03088"/>
    <w:rsid w:val="00C11A70"/>
    <w:rsid w:val="00C14884"/>
    <w:rsid w:val="00C26C69"/>
    <w:rsid w:val="00C431F4"/>
    <w:rsid w:val="00C66FD6"/>
    <w:rsid w:val="00C67F83"/>
    <w:rsid w:val="00C76F5A"/>
    <w:rsid w:val="00C87F89"/>
    <w:rsid w:val="00CA45B2"/>
    <w:rsid w:val="00CB0218"/>
    <w:rsid w:val="00CB1695"/>
    <w:rsid w:val="00CB58A9"/>
    <w:rsid w:val="00CC6127"/>
    <w:rsid w:val="00CE2A80"/>
    <w:rsid w:val="00CF635B"/>
    <w:rsid w:val="00D155D2"/>
    <w:rsid w:val="00D4380D"/>
    <w:rsid w:val="00D468DC"/>
    <w:rsid w:val="00D90577"/>
    <w:rsid w:val="00D94366"/>
    <w:rsid w:val="00D9591F"/>
    <w:rsid w:val="00DA5C8E"/>
    <w:rsid w:val="00DC5C4B"/>
    <w:rsid w:val="00DD0542"/>
    <w:rsid w:val="00DE4A95"/>
    <w:rsid w:val="00DE56DF"/>
    <w:rsid w:val="00E05D7F"/>
    <w:rsid w:val="00E10D38"/>
    <w:rsid w:val="00E1247A"/>
    <w:rsid w:val="00E17BCD"/>
    <w:rsid w:val="00E20101"/>
    <w:rsid w:val="00E44E05"/>
    <w:rsid w:val="00E61D7C"/>
    <w:rsid w:val="00E66FFC"/>
    <w:rsid w:val="00E841C3"/>
    <w:rsid w:val="00E92F91"/>
    <w:rsid w:val="00E93B04"/>
    <w:rsid w:val="00EB2056"/>
    <w:rsid w:val="00EB2145"/>
    <w:rsid w:val="00EB3F9F"/>
    <w:rsid w:val="00EB679D"/>
    <w:rsid w:val="00EC64AA"/>
    <w:rsid w:val="00EE4DF7"/>
    <w:rsid w:val="00EE6E8A"/>
    <w:rsid w:val="00EF2A73"/>
    <w:rsid w:val="00F03DA5"/>
    <w:rsid w:val="00F03FCB"/>
    <w:rsid w:val="00F041B5"/>
    <w:rsid w:val="00F24F2D"/>
    <w:rsid w:val="00F313BE"/>
    <w:rsid w:val="00F36245"/>
    <w:rsid w:val="00F6553C"/>
    <w:rsid w:val="00F70DA8"/>
    <w:rsid w:val="00F733E6"/>
    <w:rsid w:val="00F76B17"/>
    <w:rsid w:val="00F82D69"/>
    <w:rsid w:val="00F861E5"/>
    <w:rsid w:val="00F907EB"/>
    <w:rsid w:val="00F91989"/>
    <w:rsid w:val="00FB35C7"/>
    <w:rsid w:val="00FC6667"/>
    <w:rsid w:val="00FE0D76"/>
    <w:rsid w:val="00FF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6B89409"/>
  <w15:docId w15:val="{0557E458-C3F7-4F24-98D4-13F2707D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4"/>
    <w:pPr>
      <w:spacing w:after="0" w:line="240" w:lineRule="auto"/>
    </w:pPr>
    <w:rPr>
      <w:rFonts w:ascii="Franklin Gothic Book" w:eastAsiaTheme="minorHAnsi" w:hAnsi="Franklin Gothic Book"/>
      <w:sz w:val="24"/>
      <w:szCs w:val="24"/>
    </w:rPr>
  </w:style>
  <w:style w:type="paragraph" w:styleId="Heading1">
    <w:name w:val="heading 1"/>
    <w:basedOn w:val="Normal"/>
    <w:next w:val="Normal"/>
    <w:link w:val="Heading1Char"/>
    <w:uiPriority w:val="9"/>
    <w:qFormat/>
    <w:rsid w:val="00256244"/>
    <w:pPr>
      <w:keepNext/>
      <w:keepLines/>
      <w:numPr>
        <w:numId w:val="9"/>
      </w:numPr>
      <w:spacing w:before="360"/>
      <w:outlineLvl w:val="0"/>
    </w:pPr>
    <w:rPr>
      <w:rFonts w:ascii="Franklin Gothic Medium" w:eastAsiaTheme="majorEastAsia" w:hAnsi="Franklin Gothic Medium" w:cstheme="majorBidi"/>
      <w:bCs/>
      <w:sz w:val="28"/>
      <w:szCs w:val="28"/>
    </w:rPr>
  </w:style>
  <w:style w:type="paragraph" w:styleId="Heading2">
    <w:name w:val="heading 2"/>
    <w:basedOn w:val="Normal"/>
    <w:next w:val="Normal"/>
    <w:link w:val="Heading2Char"/>
    <w:uiPriority w:val="9"/>
    <w:qFormat/>
    <w:rsid w:val="00256244"/>
    <w:pPr>
      <w:keepNext/>
      <w:numPr>
        <w:ilvl w:val="1"/>
        <w:numId w:val="9"/>
      </w:numPr>
      <w:spacing w:before="240"/>
      <w:ind w:right="2880"/>
      <w:outlineLvl w:val="1"/>
    </w:pPr>
    <w:rPr>
      <w:rFonts w:ascii="Franklin Gothic Medium" w:hAnsi="Franklin Gothic Medium"/>
      <w:color w:val="335B95"/>
      <w:szCs w:val="28"/>
    </w:rPr>
  </w:style>
  <w:style w:type="paragraph" w:styleId="Heading3">
    <w:name w:val="heading 3"/>
    <w:aliases w:val="Guidance Header"/>
    <w:basedOn w:val="Normal"/>
    <w:next w:val="Normal"/>
    <w:link w:val="Heading3Char"/>
    <w:uiPriority w:val="9"/>
    <w:qFormat/>
    <w:rsid w:val="00256244"/>
    <w:pPr>
      <w:keepNext/>
      <w:numPr>
        <w:ilvl w:val="2"/>
        <w:numId w:val="9"/>
      </w:numPr>
      <w:shd w:val="clear" w:color="auto" w:fill="FFFFFF" w:themeFill="background1"/>
      <w:spacing w:before="360"/>
      <w:outlineLvl w:val="2"/>
    </w:pPr>
    <w:rPr>
      <w:rFonts w:ascii="Franklin Gothic Demi" w:eastAsiaTheme="majorEastAsia" w:hAnsi="Franklin Gothic Demi" w:cstheme="majorBidi"/>
      <w:bCs/>
      <w:color w:val="335B95"/>
    </w:rPr>
  </w:style>
  <w:style w:type="paragraph" w:styleId="Heading4">
    <w:name w:val="heading 4"/>
    <w:aliases w:val="Guidance Subhead"/>
    <w:basedOn w:val="Normal"/>
    <w:next w:val="Normal"/>
    <w:link w:val="Heading4Char"/>
    <w:uiPriority w:val="9"/>
    <w:qFormat/>
    <w:rsid w:val="00256244"/>
    <w:pPr>
      <w:keepNext/>
      <w:numPr>
        <w:ilvl w:val="3"/>
        <w:numId w:val="9"/>
      </w:numPr>
      <w:pBdr>
        <w:right w:val="single" w:sz="24" w:space="4" w:color="799DD1"/>
      </w:pBdr>
      <w:spacing w:before="240"/>
      <w:outlineLvl w:val="3"/>
    </w:pPr>
    <w:rPr>
      <w:rFonts w:ascii="Franklin Gothic Medium Cond" w:eastAsiaTheme="majorEastAsia" w:hAnsi="Franklin Gothic Medium Cond" w:cstheme="majorBidi"/>
      <w:bCs/>
      <w:iCs/>
    </w:rPr>
  </w:style>
  <w:style w:type="paragraph" w:styleId="Heading5">
    <w:name w:val="heading 5"/>
    <w:basedOn w:val="Normal"/>
    <w:next w:val="Normal"/>
    <w:link w:val="Heading5Char"/>
    <w:uiPriority w:val="9"/>
    <w:unhideWhenUsed/>
    <w:qFormat/>
    <w:rsid w:val="00256244"/>
    <w:pPr>
      <w:numPr>
        <w:ilvl w:val="4"/>
        <w:numId w:val="9"/>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qFormat/>
    <w:rsid w:val="00256244"/>
    <w:pPr>
      <w:numPr>
        <w:ilvl w:val="5"/>
        <w:numId w:val="9"/>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qFormat/>
    <w:rsid w:val="00256244"/>
    <w:pPr>
      <w:numPr>
        <w:ilvl w:val="6"/>
        <w:numId w:val="9"/>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256244"/>
    <w:pPr>
      <w:numPr>
        <w:ilvl w:val="7"/>
        <w:numId w:val="9"/>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256244"/>
    <w:pPr>
      <w:numPr>
        <w:ilvl w:val="8"/>
        <w:numId w:val="9"/>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244"/>
    <w:rPr>
      <w:rFonts w:ascii="Franklin Gothic Medium" w:eastAsiaTheme="majorEastAsia" w:hAnsi="Franklin Gothic Medium" w:cstheme="majorBidi"/>
      <w:bCs/>
      <w:sz w:val="28"/>
      <w:szCs w:val="28"/>
    </w:rPr>
  </w:style>
  <w:style w:type="character" w:customStyle="1" w:styleId="Heading2Char">
    <w:name w:val="Heading 2 Char"/>
    <w:basedOn w:val="DefaultParagraphFont"/>
    <w:link w:val="Heading2"/>
    <w:uiPriority w:val="9"/>
    <w:rsid w:val="00256244"/>
    <w:rPr>
      <w:rFonts w:ascii="Franklin Gothic Medium" w:eastAsiaTheme="minorHAnsi" w:hAnsi="Franklin Gothic Medium"/>
      <w:color w:val="335B95"/>
      <w:sz w:val="24"/>
      <w:szCs w:val="28"/>
    </w:rPr>
  </w:style>
  <w:style w:type="character" w:customStyle="1" w:styleId="Heading3Char">
    <w:name w:val="Heading 3 Char"/>
    <w:aliases w:val="Guidance Header Char"/>
    <w:basedOn w:val="DefaultParagraphFont"/>
    <w:link w:val="Heading3"/>
    <w:uiPriority w:val="9"/>
    <w:rsid w:val="00256244"/>
    <w:rPr>
      <w:rFonts w:ascii="Franklin Gothic Demi" w:eastAsiaTheme="majorEastAsia" w:hAnsi="Franklin Gothic Demi" w:cstheme="majorBidi"/>
      <w:bCs/>
      <w:color w:val="335B95"/>
      <w:sz w:val="24"/>
      <w:szCs w:val="24"/>
      <w:shd w:val="clear" w:color="auto" w:fill="FFFFFF" w:themeFill="background1"/>
    </w:rPr>
  </w:style>
  <w:style w:type="character" w:customStyle="1" w:styleId="Heading4Char">
    <w:name w:val="Heading 4 Char"/>
    <w:aliases w:val="Guidance Subhead Char"/>
    <w:basedOn w:val="DefaultParagraphFont"/>
    <w:link w:val="Heading4"/>
    <w:uiPriority w:val="9"/>
    <w:rsid w:val="00256244"/>
    <w:rPr>
      <w:rFonts w:ascii="Franklin Gothic Medium Cond" w:eastAsiaTheme="majorEastAsia" w:hAnsi="Franklin Gothic Medium Cond" w:cstheme="majorBidi"/>
      <w:bCs/>
      <w:iCs/>
      <w:sz w:val="24"/>
      <w:szCs w:val="24"/>
    </w:rPr>
  </w:style>
  <w:style w:type="character" w:customStyle="1" w:styleId="Heading5Char">
    <w:name w:val="Heading 5 Char"/>
    <w:basedOn w:val="DefaultParagraphFont"/>
    <w:link w:val="Heading5"/>
    <w:uiPriority w:val="9"/>
    <w:rsid w:val="00256244"/>
    <w:rPr>
      <w:rFonts w:asciiTheme="majorHAnsi" w:eastAsiaTheme="majorEastAsia" w:hAnsiTheme="majorHAnsi" w:cstheme="majorBidi"/>
      <w:b/>
      <w:bCs/>
      <w:color w:val="7F7F7F" w:themeColor="text1" w:themeTint="80"/>
      <w:sz w:val="24"/>
      <w:szCs w:val="24"/>
    </w:rPr>
  </w:style>
  <w:style w:type="character" w:customStyle="1" w:styleId="Heading6Char">
    <w:name w:val="Heading 6 Char"/>
    <w:basedOn w:val="DefaultParagraphFont"/>
    <w:link w:val="Heading6"/>
    <w:uiPriority w:val="9"/>
    <w:semiHidden/>
    <w:rsid w:val="00256244"/>
    <w:rPr>
      <w:rFonts w:asciiTheme="majorHAnsi" w:eastAsiaTheme="majorEastAsia" w:hAnsiTheme="majorHAnsi" w:cstheme="majorBidi"/>
      <w:b/>
      <w:bCs/>
      <w:i/>
      <w:iCs/>
      <w:color w:val="7F7F7F" w:themeColor="text1" w:themeTint="80"/>
      <w:sz w:val="24"/>
      <w:szCs w:val="24"/>
    </w:rPr>
  </w:style>
  <w:style w:type="character" w:customStyle="1" w:styleId="Heading7Char">
    <w:name w:val="Heading 7 Char"/>
    <w:basedOn w:val="DefaultParagraphFont"/>
    <w:link w:val="Heading7"/>
    <w:uiPriority w:val="9"/>
    <w:semiHidden/>
    <w:rsid w:val="00256244"/>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25624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56244"/>
    <w:rPr>
      <w:rFonts w:asciiTheme="majorHAnsi" w:eastAsiaTheme="majorEastAsia" w:hAnsiTheme="majorHAnsi" w:cstheme="majorBidi"/>
      <w:i/>
      <w:iCs/>
      <w:spacing w:val="5"/>
      <w:sz w:val="20"/>
      <w:szCs w:val="20"/>
    </w:rPr>
  </w:style>
  <w:style w:type="character" w:styleId="Emphasis">
    <w:name w:val="Emphasis"/>
    <w:basedOn w:val="DefaultParagraphFont"/>
    <w:uiPriority w:val="20"/>
    <w:qFormat/>
    <w:rsid w:val="00256244"/>
    <w:rPr>
      <w:rFonts w:ascii="Franklin Gothic Demi" w:hAnsi="Franklin Gothic Demi"/>
      <w:iCs/>
      <w:color w:val="335B95"/>
    </w:rPr>
  </w:style>
  <w:style w:type="paragraph" w:styleId="BalloonText">
    <w:name w:val="Balloon Text"/>
    <w:basedOn w:val="Normal"/>
    <w:link w:val="BalloonTextChar"/>
    <w:uiPriority w:val="99"/>
    <w:semiHidden/>
    <w:unhideWhenUsed/>
    <w:rsid w:val="00256244"/>
    <w:rPr>
      <w:rFonts w:ascii="Tahoma" w:hAnsi="Tahoma" w:cs="Tahoma"/>
      <w:sz w:val="16"/>
      <w:szCs w:val="16"/>
    </w:rPr>
  </w:style>
  <w:style w:type="character" w:customStyle="1" w:styleId="BalloonTextChar">
    <w:name w:val="Balloon Text Char"/>
    <w:basedOn w:val="DefaultParagraphFont"/>
    <w:link w:val="BalloonText"/>
    <w:uiPriority w:val="99"/>
    <w:semiHidden/>
    <w:rsid w:val="00256244"/>
    <w:rPr>
      <w:rFonts w:ascii="Tahoma" w:eastAsiaTheme="minorHAnsi" w:hAnsi="Tahoma" w:cs="Tahoma"/>
      <w:sz w:val="16"/>
      <w:szCs w:val="16"/>
    </w:rPr>
  </w:style>
  <w:style w:type="paragraph" w:styleId="ListParagraph">
    <w:name w:val="List Paragraph"/>
    <w:basedOn w:val="BodyText"/>
    <w:uiPriority w:val="2"/>
    <w:qFormat/>
    <w:rsid w:val="00256244"/>
    <w:pPr>
      <w:ind w:left="720"/>
      <w:contextualSpacing/>
    </w:pPr>
  </w:style>
  <w:style w:type="paragraph" w:styleId="Title">
    <w:name w:val="Title"/>
    <w:basedOn w:val="Normal"/>
    <w:next w:val="Normal"/>
    <w:link w:val="TitleChar"/>
    <w:qFormat/>
    <w:rsid w:val="00256244"/>
    <w:pPr>
      <w:pBdr>
        <w:bottom w:val="single" w:sz="8" w:space="4" w:color="DDDDDD" w:themeColor="accent1"/>
      </w:pBdr>
      <w:spacing w:before="360" w:after="360"/>
      <w:contextualSpacing/>
    </w:pPr>
    <w:rPr>
      <w:rFonts w:ascii="Franklin Gothic Demi Cond" w:eastAsiaTheme="majorEastAsia" w:hAnsi="Franklin Gothic Demi Cond" w:cstheme="majorBidi"/>
      <w:color w:val="000000" w:themeColor="text2" w:themeShade="BF"/>
      <w:spacing w:val="5"/>
      <w:kern w:val="28"/>
      <w:sz w:val="52"/>
      <w:szCs w:val="52"/>
    </w:rPr>
  </w:style>
  <w:style w:type="character" w:customStyle="1" w:styleId="TitleChar">
    <w:name w:val="Title Char"/>
    <w:basedOn w:val="DefaultParagraphFont"/>
    <w:link w:val="Title"/>
    <w:rsid w:val="00256244"/>
    <w:rPr>
      <w:rFonts w:ascii="Franklin Gothic Demi Cond" w:eastAsiaTheme="majorEastAsia" w:hAnsi="Franklin Gothic Demi Cond" w:cstheme="majorBidi"/>
      <w:color w:val="000000" w:themeColor="text2" w:themeShade="BF"/>
      <w:spacing w:val="5"/>
      <w:kern w:val="28"/>
      <w:sz w:val="52"/>
      <w:szCs w:val="52"/>
    </w:rPr>
  </w:style>
  <w:style w:type="paragraph" w:styleId="Header">
    <w:name w:val="header"/>
    <w:basedOn w:val="Normal"/>
    <w:link w:val="HeaderChar"/>
    <w:uiPriority w:val="99"/>
    <w:unhideWhenUsed/>
    <w:rsid w:val="00256244"/>
    <w:pPr>
      <w:tabs>
        <w:tab w:val="center" w:pos="4680"/>
        <w:tab w:val="right" w:pos="9360"/>
      </w:tabs>
      <w:jc w:val="right"/>
    </w:pPr>
    <w:rPr>
      <w:rFonts w:ascii="Franklin Gothic Medium Cond" w:hAnsi="Franklin Gothic Medium Cond"/>
    </w:rPr>
  </w:style>
  <w:style w:type="character" w:customStyle="1" w:styleId="HeaderChar">
    <w:name w:val="Header Char"/>
    <w:basedOn w:val="DefaultParagraphFont"/>
    <w:link w:val="Header"/>
    <w:uiPriority w:val="99"/>
    <w:rsid w:val="00256244"/>
    <w:rPr>
      <w:rFonts w:ascii="Franklin Gothic Medium Cond" w:eastAsiaTheme="minorHAnsi" w:hAnsi="Franklin Gothic Medium Cond"/>
      <w:sz w:val="24"/>
      <w:szCs w:val="24"/>
    </w:rPr>
  </w:style>
  <w:style w:type="paragraph" w:styleId="Footer">
    <w:name w:val="footer"/>
    <w:basedOn w:val="Normal"/>
    <w:link w:val="FooterChar"/>
    <w:uiPriority w:val="99"/>
    <w:unhideWhenUsed/>
    <w:rsid w:val="00256244"/>
    <w:pPr>
      <w:tabs>
        <w:tab w:val="center" w:pos="4680"/>
        <w:tab w:val="right" w:pos="9360"/>
      </w:tabs>
    </w:pPr>
    <w:rPr>
      <w:rFonts w:ascii="Franklin Gothic Medium Cond" w:hAnsi="Franklin Gothic Medium Cond"/>
      <w:noProof/>
    </w:rPr>
  </w:style>
  <w:style w:type="character" w:customStyle="1" w:styleId="FooterChar">
    <w:name w:val="Footer Char"/>
    <w:basedOn w:val="DefaultParagraphFont"/>
    <w:link w:val="Footer"/>
    <w:uiPriority w:val="99"/>
    <w:rsid w:val="00256244"/>
    <w:rPr>
      <w:rFonts w:ascii="Franklin Gothic Medium Cond" w:eastAsiaTheme="minorHAnsi" w:hAnsi="Franklin Gothic Medium Cond"/>
      <w:noProof/>
      <w:sz w:val="24"/>
      <w:szCs w:val="24"/>
    </w:rPr>
  </w:style>
  <w:style w:type="paragraph" w:styleId="TOCHeading">
    <w:name w:val="TOC Heading"/>
    <w:basedOn w:val="Normal"/>
    <w:next w:val="Normal"/>
    <w:uiPriority w:val="39"/>
    <w:unhideWhenUsed/>
    <w:qFormat/>
    <w:rsid w:val="00256244"/>
    <w:pPr>
      <w:spacing w:before="360" w:after="120" w:line="276" w:lineRule="auto"/>
    </w:pPr>
    <w:rPr>
      <w:rFonts w:ascii="Franklin Gothic Demi" w:hAnsi="Franklin Gothic Demi"/>
      <w:lang w:eastAsia="ja-JP"/>
    </w:rPr>
  </w:style>
  <w:style w:type="paragraph" w:styleId="TOC2">
    <w:name w:val="toc 2"/>
    <w:basedOn w:val="Normal"/>
    <w:next w:val="Normal"/>
    <w:autoRedefine/>
    <w:uiPriority w:val="39"/>
    <w:unhideWhenUsed/>
    <w:qFormat/>
    <w:rsid w:val="00B86EE0"/>
    <w:pPr>
      <w:tabs>
        <w:tab w:val="right" w:pos="9360"/>
      </w:tabs>
      <w:spacing w:before="60"/>
      <w:ind w:left="1440" w:right="-1350"/>
    </w:pPr>
    <w:rPr>
      <w:rFonts w:ascii="Franklin Gothic Medium" w:eastAsiaTheme="minorEastAsia" w:hAnsi="Franklin Gothic Medium"/>
      <w:noProof/>
      <w:color w:val="335B95"/>
      <w:sz w:val="22"/>
      <w:lang w:eastAsia="ja-JP"/>
    </w:rPr>
  </w:style>
  <w:style w:type="paragraph" w:styleId="TOC1">
    <w:name w:val="toc 1"/>
    <w:basedOn w:val="Normal"/>
    <w:next w:val="Normal"/>
    <w:autoRedefine/>
    <w:uiPriority w:val="39"/>
    <w:unhideWhenUsed/>
    <w:qFormat/>
    <w:rsid w:val="00B86EE0"/>
    <w:pPr>
      <w:tabs>
        <w:tab w:val="left" w:pos="1440"/>
        <w:tab w:val="right" w:leader="dot" w:pos="9360"/>
      </w:tabs>
      <w:spacing w:before="120" w:after="60" w:line="276" w:lineRule="auto"/>
      <w:ind w:left="1440" w:right="-1350" w:hanging="1440"/>
    </w:pPr>
    <w:rPr>
      <w:rFonts w:ascii="Franklin Gothic Medium" w:eastAsiaTheme="minorEastAsia" w:hAnsi="Franklin Gothic Medium"/>
      <w:noProof/>
      <w:lang w:eastAsia="ja-JP"/>
    </w:rPr>
  </w:style>
  <w:style w:type="paragraph" w:styleId="TOC3">
    <w:name w:val="toc 3"/>
    <w:basedOn w:val="Normal"/>
    <w:next w:val="Normal"/>
    <w:autoRedefine/>
    <w:uiPriority w:val="39"/>
    <w:unhideWhenUsed/>
    <w:qFormat/>
    <w:rsid w:val="00B86EE0"/>
    <w:pPr>
      <w:tabs>
        <w:tab w:val="right" w:pos="9360"/>
      </w:tabs>
      <w:ind w:left="1440" w:right="-1350"/>
    </w:pPr>
    <w:rPr>
      <w:rFonts w:eastAsiaTheme="minorEastAsia"/>
      <w:noProof/>
      <w:sz w:val="22"/>
      <w:lang w:eastAsia="ja-JP"/>
    </w:rPr>
  </w:style>
  <w:style w:type="character" w:styleId="Hyperlink">
    <w:name w:val="Hyperlink"/>
    <w:basedOn w:val="DefaultParagraphFont"/>
    <w:uiPriority w:val="99"/>
    <w:unhideWhenUsed/>
    <w:rsid w:val="00256244"/>
    <w:rPr>
      <w:color w:val="5F5F5F" w:themeColor="hyperlink"/>
      <w:u w:val="single"/>
    </w:rPr>
  </w:style>
  <w:style w:type="paragraph" w:styleId="NoSpacing">
    <w:name w:val="No Spacing"/>
    <w:uiPriority w:val="1"/>
    <w:semiHidden/>
    <w:qFormat/>
    <w:rsid w:val="00256244"/>
    <w:pPr>
      <w:spacing w:after="0" w:line="240" w:lineRule="auto"/>
    </w:pPr>
    <w:rPr>
      <w:rFonts w:ascii="Franklin Gothic Book" w:eastAsiaTheme="minorHAnsi" w:hAnsi="Franklin Gothic Book"/>
      <w:sz w:val="24"/>
      <w:szCs w:val="24"/>
    </w:rPr>
  </w:style>
  <w:style w:type="table" w:styleId="TableGrid">
    <w:name w:val="Table Grid"/>
    <w:basedOn w:val="TableNormal"/>
    <w:uiPriority w:val="59"/>
    <w:rsid w:val="0025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56244"/>
    <w:pPr>
      <w:spacing w:before="240"/>
    </w:pPr>
  </w:style>
  <w:style w:type="character" w:customStyle="1" w:styleId="BodyTextChar">
    <w:name w:val="Body Text Char"/>
    <w:basedOn w:val="DefaultParagraphFont"/>
    <w:link w:val="BodyText"/>
    <w:uiPriority w:val="1"/>
    <w:rsid w:val="00256244"/>
    <w:rPr>
      <w:rFonts w:ascii="Franklin Gothic Book" w:eastAsiaTheme="minorHAnsi" w:hAnsi="Franklin Gothic Book"/>
      <w:sz w:val="24"/>
      <w:szCs w:val="24"/>
    </w:rPr>
  </w:style>
  <w:style w:type="paragraph" w:styleId="IntenseQuote">
    <w:name w:val="Intense Quote"/>
    <w:basedOn w:val="Normal"/>
    <w:next w:val="Normal"/>
    <w:link w:val="IntenseQuoteChar"/>
    <w:uiPriority w:val="30"/>
    <w:semiHidden/>
    <w:qFormat/>
    <w:rsid w:val="00256244"/>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256244"/>
    <w:rPr>
      <w:rFonts w:ascii="Franklin Gothic Book" w:eastAsiaTheme="minorHAnsi" w:hAnsi="Franklin Gothic Book"/>
      <w:b/>
      <w:bCs/>
      <w:i/>
      <w:iCs/>
      <w:color w:val="DDDDDD" w:themeColor="accent1"/>
      <w:sz w:val="24"/>
      <w:szCs w:val="24"/>
    </w:rPr>
  </w:style>
  <w:style w:type="paragraph" w:styleId="Quote">
    <w:name w:val="Quote"/>
    <w:aliases w:val="Guidance Text"/>
    <w:basedOn w:val="Normal"/>
    <w:link w:val="QuoteChar"/>
    <w:uiPriority w:val="3"/>
    <w:qFormat/>
    <w:rsid w:val="00256244"/>
    <w:pPr>
      <w:pBdr>
        <w:right w:val="single" w:sz="24" w:space="4" w:color="799DD1"/>
      </w:pBdr>
      <w:spacing w:before="120"/>
      <w:ind w:left="1440"/>
    </w:pPr>
    <w:rPr>
      <w:i/>
      <w:iCs/>
      <w:color w:val="000000" w:themeColor="text1"/>
    </w:rPr>
  </w:style>
  <w:style w:type="character" w:customStyle="1" w:styleId="QuoteChar">
    <w:name w:val="Quote Char"/>
    <w:aliases w:val="Guidance Text Char"/>
    <w:basedOn w:val="DefaultParagraphFont"/>
    <w:link w:val="Quote"/>
    <w:uiPriority w:val="3"/>
    <w:rsid w:val="00256244"/>
    <w:rPr>
      <w:rFonts w:ascii="Franklin Gothic Book" w:eastAsiaTheme="minorHAnsi" w:hAnsi="Franklin Gothic Book"/>
      <w:i/>
      <w:iCs/>
      <w:color w:val="000000" w:themeColor="text1"/>
      <w:sz w:val="24"/>
      <w:szCs w:val="24"/>
    </w:rPr>
  </w:style>
  <w:style w:type="character" w:styleId="SubtleReference">
    <w:name w:val="Subtle Reference"/>
    <w:basedOn w:val="DefaultParagraphFont"/>
    <w:uiPriority w:val="31"/>
    <w:semiHidden/>
    <w:qFormat/>
    <w:rsid w:val="00256244"/>
    <w:rPr>
      <w:rFonts w:asciiTheme="minorHAnsi" w:hAnsiTheme="minorHAnsi"/>
      <w:caps w:val="0"/>
      <w:smallCaps/>
      <w:vanish w:val="0"/>
      <w:color w:val="FFFFFF" w:themeColor="background1"/>
      <w:u w:val="single"/>
    </w:rPr>
  </w:style>
  <w:style w:type="character" w:styleId="IntenseEmphasis">
    <w:name w:val="Intense Emphasis"/>
    <w:basedOn w:val="DefaultParagraphFont"/>
    <w:uiPriority w:val="21"/>
    <w:semiHidden/>
    <w:qFormat/>
    <w:rsid w:val="00256244"/>
    <w:rPr>
      <w:b/>
      <w:bCs/>
      <w:i/>
      <w:iCs/>
      <w:color w:val="DDDDDD" w:themeColor="accent1"/>
    </w:rPr>
  </w:style>
  <w:style w:type="paragraph" w:styleId="ListBullet2">
    <w:name w:val="List Bullet 2"/>
    <w:basedOn w:val="Normal"/>
    <w:uiPriority w:val="99"/>
    <w:semiHidden/>
    <w:rsid w:val="00256244"/>
    <w:pPr>
      <w:numPr>
        <w:numId w:val="4"/>
      </w:numPr>
      <w:spacing w:after="120"/>
      <w:contextualSpacing/>
    </w:pPr>
  </w:style>
  <w:style w:type="paragraph" w:styleId="ListBullet3">
    <w:name w:val="List Bullet 3"/>
    <w:basedOn w:val="Normal"/>
    <w:uiPriority w:val="99"/>
    <w:semiHidden/>
    <w:rsid w:val="00256244"/>
    <w:pPr>
      <w:numPr>
        <w:numId w:val="5"/>
      </w:numPr>
      <w:contextualSpacing/>
    </w:pPr>
  </w:style>
  <w:style w:type="paragraph" w:styleId="ListBullet">
    <w:name w:val="List Bullet"/>
    <w:basedOn w:val="Normal"/>
    <w:uiPriority w:val="99"/>
    <w:semiHidden/>
    <w:rsid w:val="00256244"/>
    <w:pPr>
      <w:numPr>
        <w:numId w:val="3"/>
      </w:numPr>
      <w:spacing w:after="120"/>
      <w:contextualSpacing/>
    </w:pPr>
  </w:style>
  <w:style w:type="paragraph" w:styleId="ListBullet4">
    <w:name w:val="List Bullet 4"/>
    <w:basedOn w:val="Normal"/>
    <w:uiPriority w:val="99"/>
    <w:semiHidden/>
    <w:rsid w:val="00256244"/>
    <w:pPr>
      <w:numPr>
        <w:numId w:val="6"/>
      </w:numPr>
      <w:contextualSpacing/>
    </w:pPr>
  </w:style>
  <w:style w:type="paragraph" w:styleId="ListBullet5">
    <w:name w:val="List Bullet 5"/>
    <w:basedOn w:val="Normal"/>
    <w:uiPriority w:val="99"/>
    <w:semiHidden/>
    <w:rsid w:val="00256244"/>
    <w:pPr>
      <w:numPr>
        <w:numId w:val="7"/>
      </w:numPr>
      <w:contextualSpacing/>
    </w:pPr>
  </w:style>
  <w:style w:type="paragraph" w:styleId="ListNumber">
    <w:name w:val="List Number"/>
    <w:basedOn w:val="Normal"/>
    <w:uiPriority w:val="99"/>
    <w:semiHidden/>
    <w:rsid w:val="00256244"/>
    <w:pPr>
      <w:spacing w:before="240"/>
    </w:pPr>
  </w:style>
  <w:style w:type="character" w:styleId="Strong">
    <w:name w:val="Strong"/>
    <w:basedOn w:val="DefaultParagraphFont"/>
    <w:uiPriority w:val="22"/>
    <w:semiHidden/>
    <w:qFormat/>
    <w:rsid w:val="00256244"/>
    <w:rPr>
      <w:b/>
      <w:bCs/>
    </w:rPr>
  </w:style>
  <w:style w:type="character" w:styleId="SubtleEmphasis">
    <w:name w:val="Subtle Emphasis"/>
    <w:basedOn w:val="DefaultParagraphFont"/>
    <w:uiPriority w:val="19"/>
    <w:semiHidden/>
    <w:qFormat/>
    <w:rsid w:val="00256244"/>
    <w:rPr>
      <w:rFonts w:ascii="Franklin Gothic Medium Cond" w:hAnsi="Franklin Gothic Medium Cond"/>
      <w:i w:val="0"/>
      <w:iCs/>
      <w:color w:val="auto"/>
      <w:sz w:val="24"/>
    </w:rPr>
  </w:style>
  <w:style w:type="paragraph" w:styleId="ListNumber2">
    <w:name w:val="List Number 2"/>
    <w:basedOn w:val="Normal"/>
    <w:uiPriority w:val="99"/>
    <w:semiHidden/>
    <w:rsid w:val="00256244"/>
    <w:pPr>
      <w:numPr>
        <w:numId w:val="8"/>
      </w:numPr>
      <w:contextualSpacing/>
    </w:pPr>
  </w:style>
  <w:style w:type="numbering" w:customStyle="1" w:styleId="PolicyList">
    <w:name w:val="Policy List"/>
    <w:uiPriority w:val="99"/>
    <w:rsid w:val="00256244"/>
    <w:pPr>
      <w:numPr>
        <w:numId w:val="2"/>
      </w:numPr>
    </w:pPr>
  </w:style>
  <w:style w:type="numbering" w:customStyle="1" w:styleId="GuidanceBullets">
    <w:name w:val="Guidance Bullets"/>
    <w:uiPriority w:val="99"/>
    <w:rsid w:val="00256244"/>
    <w:pPr>
      <w:numPr>
        <w:numId w:val="1"/>
      </w:numPr>
    </w:pPr>
  </w:style>
  <w:style w:type="paragraph" w:customStyle="1" w:styleId="p">
    <w:name w:val="p"/>
    <w:basedOn w:val="Heading1"/>
    <w:rsid w:val="00256244"/>
  </w:style>
  <w:style w:type="numbering" w:customStyle="1" w:styleId="PolicyList1">
    <w:name w:val="Policy List1"/>
    <w:uiPriority w:val="99"/>
    <w:rsid w:val="001A20BB"/>
  </w:style>
  <w:style w:type="character" w:styleId="CommentReference">
    <w:name w:val="annotation reference"/>
    <w:basedOn w:val="DefaultParagraphFont"/>
    <w:uiPriority w:val="99"/>
    <w:semiHidden/>
    <w:unhideWhenUsed/>
    <w:rsid w:val="00F03DA5"/>
    <w:rPr>
      <w:sz w:val="16"/>
      <w:szCs w:val="16"/>
    </w:rPr>
  </w:style>
  <w:style w:type="paragraph" w:styleId="CommentText">
    <w:name w:val="annotation text"/>
    <w:basedOn w:val="Normal"/>
    <w:link w:val="CommentTextChar"/>
    <w:uiPriority w:val="99"/>
    <w:semiHidden/>
    <w:unhideWhenUsed/>
    <w:rsid w:val="00F03DA5"/>
    <w:rPr>
      <w:sz w:val="20"/>
      <w:szCs w:val="20"/>
    </w:rPr>
  </w:style>
  <w:style w:type="character" w:customStyle="1" w:styleId="CommentTextChar">
    <w:name w:val="Comment Text Char"/>
    <w:basedOn w:val="DefaultParagraphFont"/>
    <w:link w:val="CommentText"/>
    <w:uiPriority w:val="99"/>
    <w:semiHidden/>
    <w:rsid w:val="00F03DA5"/>
    <w:rPr>
      <w:rFonts w:ascii="Franklin Gothic Book" w:eastAsiaTheme="minorHAnsi" w:hAnsi="Franklin Gothic Book"/>
      <w:sz w:val="20"/>
      <w:szCs w:val="20"/>
    </w:rPr>
  </w:style>
  <w:style w:type="paragraph" w:styleId="CommentSubject">
    <w:name w:val="annotation subject"/>
    <w:basedOn w:val="CommentText"/>
    <w:next w:val="CommentText"/>
    <w:link w:val="CommentSubjectChar"/>
    <w:uiPriority w:val="99"/>
    <w:semiHidden/>
    <w:unhideWhenUsed/>
    <w:rsid w:val="00F03DA5"/>
    <w:rPr>
      <w:b/>
      <w:bCs/>
    </w:rPr>
  </w:style>
  <w:style w:type="character" w:customStyle="1" w:styleId="CommentSubjectChar">
    <w:name w:val="Comment Subject Char"/>
    <w:basedOn w:val="CommentTextChar"/>
    <w:link w:val="CommentSubject"/>
    <w:uiPriority w:val="99"/>
    <w:semiHidden/>
    <w:rsid w:val="00F03DA5"/>
    <w:rPr>
      <w:rFonts w:ascii="Franklin Gothic Book" w:eastAsiaTheme="minorHAnsi" w:hAnsi="Franklin Gothic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6AA0-1935-442E-A8C7-5314A726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953</Words>
  <Characters>6030</Characters>
  <Application>Microsoft Office Word</Application>
  <DocSecurity>4</DocSecurity>
  <Lines>194</Lines>
  <Paragraphs>211</Paragraphs>
  <ScaleCrop>false</ScaleCrop>
  <HeadingPairs>
    <vt:vector size="2" baseType="variant">
      <vt:variant>
        <vt:lpstr>Title</vt:lpstr>
      </vt:variant>
      <vt:variant>
        <vt:i4>1</vt:i4>
      </vt:variant>
    </vt:vector>
  </HeadingPairs>
  <TitlesOfParts>
    <vt:vector size="1" baseType="lpstr">
      <vt:lpstr>Chapter 203:  INDIVIDUALIZED PLAN FOR EMPLOYMENT</vt:lpstr>
    </vt:vector>
  </TitlesOfParts>
  <Company>Agency Of Human Services - State Of VT</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203:  INDIVIDUALIZED PLAN FOR EMPLOYMENT</dc:title>
  <dc:creator>Tighe, Deb</dc:creator>
  <cp:lastModifiedBy>Floyd, Mackenzie</cp:lastModifiedBy>
  <cp:revision>2</cp:revision>
  <cp:lastPrinted>2018-01-30T20:42:00Z</cp:lastPrinted>
  <dcterms:created xsi:type="dcterms:W3CDTF">2023-11-08T18:20:00Z</dcterms:created>
  <dcterms:modified xsi:type="dcterms:W3CDTF">2023-11-08T18:20:00Z</dcterms:modified>
</cp:coreProperties>
</file>