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0825BA95" w:rsidR="00E66FFC" w:rsidRDefault="00CB58A9" w:rsidP="00070FC8">
      <w:pPr>
        <w:pStyle w:val="Title"/>
      </w:pPr>
      <w:bookmarkStart w:id="0" w:name="ChapterNumber"/>
      <w:r w:rsidRPr="00217CE9">
        <w:t>Chapter</w:t>
      </w:r>
      <w:r>
        <w:t xml:space="preserve"> </w:t>
      </w:r>
      <w:r w:rsidR="00D32FF1">
        <w:t>19</w:t>
      </w:r>
      <w:r w:rsidR="008A481F">
        <w:t>:</w:t>
      </w:r>
      <w:bookmarkEnd w:id="0"/>
    </w:p>
    <w:p w14:paraId="0BD51514" w14:textId="3B611B9F" w:rsidR="00CB58A9" w:rsidRDefault="00D32FF1" w:rsidP="00217CE9">
      <w:pPr>
        <w:pStyle w:val="Title"/>
      </w:pPr>
      <w:r>
        <w:t>Comparable Services and Benefits</w:t>
      </w:r>
    </w:p>
    <w:p w14:paraId="23714B2B" w14:textId="703DA2B3" w:rsidR="000B7FAC" w:rsidRDefault="00217CE9" w:rsidP="000B7FAC">
      <w:r w:rsidRPr="00217CE9">
        <w:t xml:space="preserve">Vermont </w:t>
      </w:r>
      <w:r>
        <w:t xml:space="preserve">Division </w:t>
      </w:r>
      <w:r w:rsidR="009B0986">
        <w:t>for the Blind and Visually Impaired</w:t>
      </w:r>
      <w:r>
        <w:br/>
      </w:r>
      <w:r w:rsidR="00A36337">
        <w:t>Policy and</w:t>
      </w:r>
      <w:r w:rsidRPr="00217CE9">
        <w:t xml:space="preserve"> Procedures Manual</w:t>
      </w:r>
    </w:p>
    <w:p w14:paraId="0797AB5C" w14:textId="6095A57D" w:rsidR="000B7FAC" w:rsidRDefault="000B7FAC" w:rsidP="000B7FAC"/>
    <w:p w14:paraId="67FA87AC" w14:textId="264851AD" w:rsidR="000B7FAC" w:rsidRDefault="000B7FAC" w:rsidP="000B7FAC">
      <w:r>
        <w:t xml:space="preserve">Revision Date:  </w:t>
      </w:r>
      <w:r w:rsidR="00E01976">
        <w:t>February 2022</w:t>
      </w:r>
    </w:p>
    <w:p w14:paraId="1D1D83F2" w14:textId="4C5D75A1" w:rsidR="000B7FAC" w:rsidRDefault="000B7FAC" w:rsidP="000B7FAC">
      <w:pPr>
        <w:sectPr w:rsidR="000B7FAC"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0A2264C8" w:rsidR="007D7944" w:rsidRDefault="00D134C8">
          <w:pPr>
            <w:pStyle w:val="TOCHeading"/>
          </w:pPr>
          <w:r>
            <w:t>Table of C</w:t>
          </w:r>
          <w:r w:rsidR="007D7944">
            <w:t>ontents</w:t>
          </w:r>
        </w:p>
        <w:p w14:paraId="0BD9ED3F" w14:textId="36B98B87" w:rsidR="008510CD"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56181171" w:history="1">
            <w:r w:rsidR="008510CD" w:rsidRPr="0037450D">
              <w:rPr>
                <w:rStyle w:val="Hyperlink"/>
              </w:rPr>
              <w:t>Section I.</w:t>
            </w:r>
            <w:r w:rsidR="008510CD">
              <w:rPr>
                <w:rFonts w:asciiTheme="minorHAnsi" w:hAnsiTheme="minorHAnsi"/>
                <w:sz w:val="22"/>
                <w:szCs w:val="22"/>
                <w:lang w:eastAsia="en-US"/>
              </w:rPr>
              <w:tab/>
            </w:r>
            <w:r w:rsidR="008510CD" w:rsidRPr="0037450D">
              <w:rPr>
                <w:rStyle w:val="Hyperlink"/>
              </w:rPr>
              <w:t>Definitions</w:t>
            </w:r>
            <w:r w:rsidR="008510CD">
              <w:rPr>
                <w:webHidden/>
              </w:rPr>
              <w:tab/>
            </w:r>
            <w:r w:rsidR="008510CD">
              <w:rPr>
                <w:webHidden/>
              </w:rPr>
              <w:fldChar w:fldCharType="begin"/>
            </w:r>
            <w:r w:rsidR="008510CD">
              <w:rPr>
                <w:webHidden/>
              </w:rPr>
              <w:instrText xml:space="preserve"> PAGEREF _Toc56181171 \h </w:instrText>
            </w:r>
            <w:r w:rsidR="008510CD">
              <w:rPr>
                <w:webHidden/>
              </w:rPr>
            </w:r>
            <w:r w:rsidR="008510CD">
              <w:rPr>
                <w:webHidden/>
              </w:rPr>
              <w:fldChar w:fldCharType="separate"/>
            </w:r>
            <w:r w:rsidR="009B1C66">
              <w:rPr>
                <w:webHidden/>
              </w:rPr>
              <w:t>2</w:t>
            </w:r>
            <w:r w:rsidR="008510CD">
              <w:rPr>
                <w:webHidden/>
              </w:rPr>
              <w:fldChar w:fldCharType="end"/>
            </w:r>
          </w:hyperlink>
        </w:p>
        <w:p w14:paraId="426F42E8" w14:textId="1ECB1F7F" w:rsidR="008510CD" w:rsidRDefault="006A0F73">
          <w:pPr>
            <w:pStyle w:val="TOC1"/>
            <w:rPr>
              <w:rFonts w:asciiTheme="minorHAnsi" w:hAnsiTheme="minorHAnsi"/>
              <w:sz w:val="22"/>
              <w:szCs w:val="22"/>
              <w:lang w:eastAsia="en-US"/>
            </w:rPr>
          </w:pPr>
          <w:hyperlink w:anchor="_Toc56181172" w:history="1">
            <w:r w:rsidR="008510CD" w:rsidRPr="0037450D">
              <w:rPr>
                <w:rStyle w:val="Hyperlink"/>
              </w:rPr>
              <w:t>Section II.</w:t>
            </w:r>
            <w:r w:rsidR="008510CD">
              <w:rPr>
                <w:rFonts w:asciiTheme="minorHAnsi" w:hAnsiTheme="minorHAnsi"/>
                <w:sz w:val="22"/>
                <w:szCs w:val="22"/>
                <w:lang w:eastAsia="en-US"/>
              </w:rPr>
              <w:tab/>
            </w:r>
            <w:r w:rsidR="008510CD" w:rsidRPr="0037450D">
              <w:rPr>
                <w:rStyle w:val="Hyperlink"/>
              </w:rPr>
              <w:t>General Policy</w:t>
            </w:r>
            <w:r w:rsidR="008510CD">
              <w:rPr>
                <w:webHidden/>
              </w:rPr>
              <w:tab/>
            </w:r>
            <w:r w:rsidR="008510CD">
              <w:rPr>
                <w:webHidden/>
              </w:rPr>
              <w:fldChar w:fldCharType="begin"/>
            </w:r>
            <w:r w:rsidR="008510CD">
              <w:rPr>
                <w:webHidden/>
              </w:rPr>
              <w:instrText xml:space="preserve"> PAGEREF _Toc56181172 \h </w:instrText>
            </w:r>
            <w:r w:rsidR="008510CD">
              <w:rPr>
                <w:webHidden/>
              </w:rPr>
            </w:r>
            <w:r w:rsidR="008510CD">
              <w:rPr>
                <w:webHidden/>
              </w:rPr>
              <w:fldChar w:fldCharType="separate"/>
            </w:r>
            <w:r w:rsidR="009B1C66">
              <w:rPr>
                <w:webHidden/>
              </w:rPr>
              <w:t>2</w:t>
            </w:r>
            <w:r w:rsidR="008510CD">
              <w:rPr>
                <w:webHidden/>
              </w:rPr>
              <w:fldChar w:fldCharType="end"/>
            </w:r>
          </w:hyperlink>
        </w:p>
        <w:p w14:paraId="702917FA" w14:textId="1936FFCE"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56181171"/>
      <w:r>
        <w:lastRenderedPageBreak/>
        <w:t>Section I.</w:t>
      </w:r>
      <w:r>
        <w:tab/>
        <w:t>Definitions</w:t>
      </w:r>
      <w:bookmarkEnd w:id="1"/>
    </w:p>
    <w:p w14:paraId="48794C70" w14:textId="45B1F269" w:rsidR="00D32FF1" w:rsidRDefault="001A20BB" w:rsidP="000E2E5E">
      <w:pPr>
        <w:pStyle w:val="BodyText"/>
      </w:pPr>
      <w:bookmarkStart w:id="2" w:name="_Hlk56162079"/>
      <w:bookmarkStart w:id="3" w:name="_Hlk56161721"/>
      <w:r w:rsidRPr="00AF2144">
        <w:rPr>
          <w:rStyle w:val="Emphasis"/>
        </w:rPr>
        <w:t>"</w:t>
      </w:r>
      <w:r w:rsidR="00D32FF1">
        <w:rPr>
          <w:rStyle w:val="Emphasis"/>
        </w:rPr>
        <w:t>Comparable services and benefits</w:t>
      </w:r>
      <w:bookmarkEnd w:id="2"/>
      <w:r w:rsidRPr="00AF2144">
        <w:rPr>
          <w:rStyle w:val="Emphasis"/>
        </w:rPr>
        <w:t>"</w:t>
      </w:r>
      <w:r w:rsidRPr="00A67EE8">
        <w:t xml:space="preserve"> means</w:t>
      </w:r>
      <w:r w:rsidR="00D32FF1">
        <w:t xml:space="preserve"> services </w:t>
      </w:r>
      <w:bookmarkEnd w:id="3"/>
      <w:r w:rsidR="00D32FF1">
        <w:t>and benefits</w:t>
      </w:r>
      <w:r w:rsidR="009D31CA">
        <w:t>, including auxiliary aids and services,</w:t>
      </w:r>
      <w:r w:rsidR="00D32FF1">
        <w:t xml:space="preserve"> that are:</w:t>
      </w:r>
    </w:p>
    <w:p w14:paraId="521CF68E" w14:textId="6CFDDD16" w:rsidR="00D32FF1" w:rsidRPr="00D32FF1" w:rsidRDefault="00D32FF1" w:rsidP="000E2E5E">
      <w:pPr>
        <w:pStyle w:val="BodyText"/>
        <w:numPr>
          <w:ilvl w:val="2"/>
          <w:numId w:val="23"/>
        </w:numPr>
        <w:spacing w:before="100" w:beforeAutospacing="1"/>
        <w:rPr>
          <w:rStyle w:val="Emphasis"/>
          <w:rFonts w:ascii="Franklin Gothic Book" w:hAnsi="Franklin Gothic Book"/>
          <w:iCs w:val="0"/>
          <w:color w:val="auto"/>
        </w:rPr>
      </w:pPr>
      <w:r>
        <w:rPr>
          <w:rStyle w:val="Emphasis"/>
          <w:rFonts w:ascii="Franklin Gothic Book" w:hAnsi="Franklin Gothic Book"/>
          <w:color w:val="auto"/>
        </w:rPr>
        <w:t>Provided or paid for, in whole or in part, by other federal, state, or local public agencies, by health insurance or by employee benefits;</w:t>
      </w:r>
    </w:p>
    <w:p w14:paraId="309F14F5" w14:textId="09870729" w:rsidR="00D90E71" w:rsidRPr="00D90E71" w:rsidRDefault="00D32FF1" w:rsidP="000E2E5E">
      <w:pPr>
        <w:pStyle w:val="BodyText"/>
        <w:numPr>
          <w:ilvl w:val="2"/>
          <w:numId w:val="23"/>
        </w:numPr>
        <w:spacing w:before="100" w:beforeAutospacing="1"/>
        <w:rPr>
          <w:rStyle w:val="Emphasis"/>
          <w:rFonts w:ascii="Franklin Gothic Book" w:hAnsi="Franklin Gothic Book"/>
          <w:iCs w:val="0"/>
          <w:color w:val="auto"/>
        </w:rPr>
      </w:pPr>
      <w:r>
        <w:rPr>
          <w:rStyle w:val="Emphasis"/>
          <w:rFonts w:ascii="Franklin Gothic Book" w:hAnsi="Franklin Gothic Book"/>
          <w:color w:val="auto"/>
        </w:rPr>
        <w:t>Available</w:t>
      </w:r>
      <w:r w:rsidR="00D90E71">
        <w:rPr>
          <w:rStyle w:val="Emphasis"/>
          <w:rFonts w:ascii="Franklin Gothic Book" w:hAnsi="Franklin Gothic Book"/>
          <w:color w:val="auto"/>
        </w:rPr>
        <w:t xml:space="preserve"> </w:t>
      </w:r>
      <w:r>
        <w:rPr>
          <w:rStyle w:val="Emphasis"/>
          <w:rFonts w:ascii="Franklin Gothic Book" w:hAnsi="Franklin Gothic Book"/>
          <w:color w:val="auto"/>
        </w:rPr>
        <w:t xml:space="preserve">to the </w:t>
      </w:r>
      <w:r w:rsidR="009D31CA">
        <w:rPr>
          <w:rStyle w:val="Emphasis"/>
          <w:rFonts w:ascii="Franklin Gothic Book" w:hAnsi="Franklin Gothic Book"/>
          <w:color w:val="auto"/>
        </w:rPr>
        <w:t>individual</w:t>
      </w:r>
      <w:r>
        <w:rPr>
          <w:rStyle w:val="Emphasis"/>
          <w:rFonts w:ascii="Franklin Gothic Book" w:hAnsi="Franklin Gothic Book"/>
          <w:color w:val="auto"/>
        </w:rPr>
        <w:t xml:space="preserve"> at the time needed to achieve the </w:t>
      </w:r>
      <w:r w:rsidR="009D31CA">
        <w:rPr>
          <w:rStyle w:val="Emphasis"/>
          <w:rFonts w:ascii="Franklin Gothic Book" w:hAnsi="Franklin Gothic Book"/>
          <w:color w:val="auto"/>
        </w:rPr>
        <w:t xml:space="preserve">employment outcome </w:t>
      </w:r>
      <w:r>
        <w:rPr>
          <w:rStyle w:val="Emphasis"/>
          <w:rFonts w:ascii="Franklin Gothic Book" w:hAnsi="Franklin Gothic Book"/>
          <w:color w:val="auto"/>
        </w:rPr>
        <w:t xml:space="preserve">in the </w:t>
      </w:r>
      <w:r w:rsidR="006904B6">
        <w:rPr>
          <w:rStyle w:val="Emphasis"/>
          <w:rFonts w:ascii="Franklin Gothic Book" w:hAnsi="Franklin Gothic Book"/>
          <w:color w:val="auto"/>
        </w:rPr>
        <w:t>individual’s</w:t>
      </w:r>
      <w:r>
        <w:rPr>
          <w:rStyle w:val="Emphasis"/>
          <w:rFonts w:ascii="Franklin Gothic Book" w:hAnsi="Franklin Gothic Book"/>
          <w:color w:val="auto"/>
        </w:rPr>
        <w:t xml:space="preserve"> Individualized Plan for Employment (IPE) in accordance with the policy in Section II</w:t>
      </w:r>
      <w:r w:rsidR="00D90E71">
        <w:rPr>
          <w:rStyle w:val="Emphasis"/>
          <w:rFonts w:ascii="Franklin Gothic Book" w:hAnsi="Franklin Gothic Book"/>
          <w:color w:val="auto"/>
        </w:rPr>
        <w:t xml:space="preserve">. </w:t>
      </w:r>
      <w:r w:rsidR="0066141C">
        <w:rPr>
          <w:rStyle w:val="Emphasis"/>
          <w:rFonts w:ascii="Franklin Gothic Book" w:hAnsi="Franklin Gothic Book"/>
          <w:color w:val="auto"/>
        </w:rPr>
        <w:t>B.</w:t>
      </w:r>
      <w:r w:rsidR="00D90E71">
        <w:rPr>
          <w:rStyle w:val="Emphasis"/>
          <w:rFonts w:ascii="Franklin Gothic Book" w:hAnsi="Franklin Gothic Book"/>
          <w:color w:val="auto"/>
        </w:rPr>
        <w:t xml:space="preserve"> below; and </w:t>
      </w:r>
    </w:p>
    <w:p w14:paraId="683CC9A5" w14:textId="6B6D5903" w:rsidR="00D90E71" w:rsidRDefault="00D90E71" w:rsidP="000E2E5E">
      <w:pPr>
        <w:pStyle w:val="BodyText"/>
        <w:numPr>
          <w:ilvl w:val="2"/>
          <w:numId w:val="23"/>
        </w:numPr>
        <w:spacing w:before="100" w:beforeAutospacing="1"/>
      </w:pPr>
      <w:r>
        <w:t xml:space="preserve">Commensurate with the services that the </w:t>
      </w:r>
      <w:r w:rsidR="009D31CA">
        <w:t>individual</w:t>
      </w:r>
      <w:r>
        <w:t xml:space="preserve"> would otherwise receive from DBVI.</w:t>
      </w:r>
    </w:p>
    <w:p w14:paraId="55FD95F8" w14:textId="5D9D232C" w:rsidR="003D604F" w:rsidRDefault="00D90E71" w:rsidP="00F71CF6">
      <w:pPr>
        <w:pStyle w:val="BodyText"/>
      </w:pPr>
      <w:r>
        <w:t>Comparable benefits do not include awards and scholarships based upon merit.</w:t>
      </w:r>
      <w:r w:rsidR="001A20BB" w:rsidRPr="00A67EE8">
        <w:t xml:space="preserve"> </w:t>
      </w:r>
    </w:p>
    <w:p w14:paraId="495D96D0" w14:textId="77777777" w:rsidR="000E2E5E" w:rsidRDefault="000E2E5E" w:rsidP="000E2E5E">
      <w:pPr>
        <w:pStyle w:val="BodyText"/>
        <w:spacing w:before="0"/>
        <w:rPr>
          <w:rStyle w:val="Emphasis"/>
        </w:rPr>
      </w:pPr>
    </w:p>
    <w:p w14:paraId="705B2B38" w14:textId="2F098865" w:rsidR="003D604F" w:rsidRDefault="003D604F" w:rsidP="000E2E5E">
      <w:pPr>
        <w:pStyle w:val="BodyText"/>
        <w:spacing w:before="0"/>
        <w:rPr>
          <w:rStyle w:val="Emphasis"/>
          <w:rFonts w:ascii="Franklin Gothic Book" w:hAnsi="Franklin Gothic Book"/>
          <w:color w:val="auto"/>
        </w:rPr>
      </w:pPr>
      <w:r w:rsidRPr="00AF2144">
        <w:rPr>
          <w:rStyle w:val="Emphasis"/>
        </w:rPr>
        <w:t>"</w:t>
      </w:r>
      <w:r>
        <w:rPr>
          <w:rStyle w:val="Emphasis"/>
        </w:rPr>
        <w:t xml:space="preserve">Extreme medical risk” </w:t>
      </w:r>
      <w:r>
        <w:rPr>
          <w:rStyle w:val="Emphasis"/>
          <w:rFonts w:ascii="Franklin Gothic Book" w:hAnsi="Franklin Gothic Book"/>
          <w:color w:val="auto"/>
        </w:rPr>
        <w:t xml:space="preserve">means a probability of substantially increasing </w:t>
      </w:r>
      <w:r w:rsidR="000E2E5E">
        <w:rPr>
          <w:rStyle w:val="Emphasis"/>
          <w:rFonts w:ascii="Franklin Gothic Book" w:hAnsi="Franklin Gothic Book"/>
          <w:color w:val="auto"/>
        </w:rPr>
        <w:t xml:space="preserve">functional impairment or death if medical services, including mental health services, are not provided expeditiously. </w:t>
      </w:r>
    </w:p>
    <w:p w14:paraId="09B61A65" w14:textId="1BFAE3A7" w:rsidR="00090CCC" w:rsidRDefault="00882762" w:rsidP="00F36245">
      <w:pPr>
        <w:pStyle w:val="Heading1"/>
        <w:numPr>
          <w:ilvl w:val="0"/>
          <w:numId w:val="0"/>
        </w:numPr>
      </w:pPr>
      <w:bookmarkStart w:id="4" w:name="_Toc56181172"/>
      <w:r>
        <w:t>Section II.</w:t>
      </w:r>
      <w:r>
        <w:tab/>
        <w:t>General Policy</w:t>
      </w:r>
      <w:bookmarkEnd w:id="4"/>
    </w:p>
    <w:p w14:paraId="7D1AE293" w14:textId="77777777" w:rsidR="00F71CF6" w:rsidRDefault="00F71CF6" w:rsidP="00F71CF6">
      <w:pPr>
        <w:pStyle w:val="BodyText"/>
        <w:spacing w:before="0"/>
      </w:pPr>
      <w:bookmarkStart w:id="5" w:name="_Toc56181173"/>
    </w:p>
    <w:p w14:paraId="6FA8C3FF" w14:textId="5AD01DFA" w:rsidR="00317079" w:rsidRDefault="00317079" w:rsidP="006904B6">
      <w:pPr>
        <w:pStyle w:val="BodyText"/>
        <w:numPr>
          <w:ilvl w:val="0"/>
          <w:numId w:val="28"/>
        </w:numPr>
        <w:spacing w:before="0"/>
        <w:ind w:left="0" w:firstLine="0"/>
      </w:pPr>
      <w:r>
        <w:t>Pri</w:t>
      </w:r>
      <w:r w:rsidR="00EA02D0" w:rsidRPr="00317079">
        <w:t>or to providing an</w:t>
      </w:r>
      <w:r w:rsidR="00033A83" w:rsidRPr="00317079">
        <w:t xml:space="preserve"> accommodation, auxiliary aid or service or any rehabilitation services to an eligible indiv</w:t>
      </w:r>
      <w:r w:rsidR="00EA02D0" w:rsidRPr="00317079">
        <w:t xml:space="preserve">idual </w:t>
      </w:r>
      <w:r w:rsidR="00033A83" w:rsidRPr="00317079">
        <w:t>or to members of the individual’s family, DBVI shall determine whether comparable services and benefits exist under any other program and whether those services and benefits are available to the individual unless an exemption exist under B.</w:t>
      </w:r>
      <w:r w:rsidR="00EA02D0" w:rsidRPr="00317079">
        <w:t xml:space="preserve"> of this Section</w:t>
      </w:r>
      <w:bookmarkEnd w:id="5"/>
      <w:r w:rsidR="00033A83" w:rsidRPr="00317079">
        <w:t>.</w:t>
      </w:r>
    </w:p>
    <w:p w14:paraId="3396457D" w14:textId="77777777" w:rsidR="006904B6" w:rsidRDefault="006904B6" w:rsidP="006904B6">
      <w:pPr>
        <w:pStyle w:val="BodyText"/>
        <w:spacing w:before="0"/>
      </w:pPr>
    </w:p>
    <w:p w14:paraId="5A99DFC0" w14:textId="6DBFBC54" w:rsidR="00033A83" w:rsidRDefault="00033A83" w:rsidP="006904B6">
      <w:pPr>
        <w:pStyle w:val="BodyText"/>
        <w:numPr>
          <w:ilvl w:val="0"/>
          <w:numId w:val="28"/>
        </w:numPr>
        <w:spacing w:before="0"/>
        <w:ind w:left="0" w:firstLine="0"/>
      </w:pPr>
      <w:r>
        <w:t>This provision does not apply when such determination would interrupt or delay:</w:t>
      </w:r>
    </w:p>
    <w:p w14:paraId="70881E92" w14:textId="1B1F4ADE" w:rsidR="00033A83" w:rsidRDefault="00033A83" w:rsidP="006904B6">
      <w:pPr>
        <w:pStyle w:val="ListParagraph"/>
        <w:numPr>
          <w:ilvl w:val="0"/>
          <w:numId w:val="32"/>
        </w:numPr>
        <w:spacing w:before="0"/>
      </w:pPr>
      <w:r>
        <w:t>The progress of the individual toward achieving the employment outcome identified in the Individualized Plan of Employment (IPE); or</w:t>
      </w:r>
    </w:p>
    <w:p w14:paraId="1A87F926" w14:textId="6CB01765" w:rsidR="00033A83" w:rsidRDefault="00033A83" w:rsidP="006904B6">
      <w:pPr>
        <w:pStyle w:val="ListParagraph"/>
        <w:numPr>
          <w:ilvl w:val="0"/>
          <w:numId w:val="32"/>
        </w:numPr>
        <w:spacing w:before="0"/>
      </w:pPr>
      <w:r>
        <w:t>An immediate job placement; or</w:t>
      </w:r>
    </w:p>
    <w:p w14:paraId="7B05D576" w14:textId="442B4DEE" w:rsidR="00354E8A" w:rsidRDefault="00033A83" w:rsidP="006904B6">
      <w:pPr>
        <w:pStyle w:val="ListParagraph"/>
        <w:numPr>
          <w:ilvl w:val="0"/>
          <w:numId w:val="32"/>
        </w:numPr>
        <w:spacing w:before="0"/>
      </w:pPr>
      <w:r>
        <w:t xml:space="preserve">The provision of vocational rehabilitation services to any individual who is </w:t>
      </w:r>
      <w:r w:rsidR="00520367">
        <w:t>determined</w:t>
      </w:r>
      <w:r>
        <w:t xml:space="preserve"> to be at extreme medical risk based on medical evidence provided by an appropriate qualified professional.</w:t>
      </w:r>
    </w:p>
    <w:p w14:paraId="38E9ECA4" w14:textId="77777777" w:rsidR="00520367" w:rsidRDefault="00520367" w:rsidP="006904B6">
      <w:pPr>
        <w:pStyle w:val="ListParagraph"/>
        <w:spacing w:before="0"/>
        <w:ind w:left="0"/>
      </w:pPr>
    </w:p>
    <w:p w14:paraId="181019B1" w14:textId="1087880C" w:rsidR="00520367" w:rsidRDefault="00520367" w:rsidP="006904B6">
      <w:pPr>
        <w:pStyle w:val="ListParagraph"/>
        <w:numPr>
          <w:ilvl w:val="0"/>
          <w:numId w:val="28"/>
        </w:numPr>
        <w:spacing w:before="0"/>
        <w:ind w:left="0" w:firstLine="0"/>
      </w:pPr>
      <w:r>
        <w:t>If comparable services or benefits exist under any other program and are available to the individual at the time needed to ensure progress of the individual toward achieving the employment outcome in their IEP</w:t>
      </w:r>
      <w:r w:rsidR="00C81348">
        <w:t>, DBVI shall use them to meet, in whole or in part, the cost of vocational rehabilitation services; and</w:t>
      </w:r>
    </w:p>
    <w:p w14:paraId="3A7AF5B3" w14:textId="77777777" w:rsidR="006904B6" w:rsidRDefault="006904B6" w:rsidP="006904B6">
      <w:pPr>
        <w:pStyle w:val="ListParagraph"/>
        <w:spacing w:before="0"/>
        <w:ind w:left="0"/>
      </w:pPr>
    </w:p>
    <w:p w14:paraId="587A3899" w14:textId="417BF97C" w:rsidR="00C81348" w:rsidRDefault="00C81348" w:rsidP="006904B6">
      <w:pPr>
        <w:pStyle w:val="ListParagraph"/>
        <w:numPr>
          <w:ilvl w:val="0"/>
          <w:numId w:val="28"/>
        </w:numPr>
        <w:spacing w:before="0"/>
        <w:ind w:left="0" w:firstLine="0"/>
      </w:pPr>
      <w:r>
        <w:t>If comparable services or benefits exist under any other program but are not available to the individual at the time needed to satisfy the rehabilitation objectives of their IPE, DBVI must provide the vocational rehabilitation services until those comparable services and benefits become available.</w:t>
      </w:r>
    </w:p>
    <w:p w14:paraId="1D343481" w14:textId="77777777" w:rsidR="00C81348" w:rsidRDefault="00C81348" w:rsidP="006904B6">
      <w:pPr>
        <w:pStyle w:val="ListParagraph"/>
        <w:spacing w:before="0"/>
        <w:ind w:left="0"/>
      </w:pPr>
    </w:p>
    <w:p w14:paraId="0DEC2B28" w14:textId="10D35FD5" w:rsidR="00EA02D0" w:rsidRDefault="00EA02D0" w:rsidP="006904B6">
      <w:pPr>
        <w:pStyle w:val="ListParagraph"/>
        <w:numPr>
          <w:ilvl w:val="0"/>
          <w:numId w:val="28"/>
        </w:numPr>
        <w:spacing w:before="0"/>
        <w:ind w:left="0" w:firstLine="0"/>
      </w:pPr>
      <w:r>
        <w:t>Exemptions</w:t>
      </w:r>
    </w:p>
    <w:p w14:paraId="26621CA5" w14:textId="04FD567C" w:rsidR="00EA02D0" w:rsidRDefault="00EA02D0" w:rsidP="006904B6">
      <w:r>
        <w:lastRenderedPageBreak/>
        <w:t xml:space="preserve">The following services are exempt from a determination of the availability of comparable services and benefits under </w:t>
      </w:r>
      <w:r w:rsidR="00C81348">
        <w:t xml:space="preserve">A. </w:t>
      </w:r>
      <w:r>
        <w:t>of this Section:</w:t>
      </w:r>
    </w:p>
    <w:p w14:paraId="27D558D6" w14:textId="07EC5538" w:rsidR="00EA02D0" w:rsidRDefault="00EA02D0" w:rsidP="006904B6">
      <w:pPr>
        <w:pStyle w:val="ListParagraph"/>
        <w:numPr>
          <w:ilvl w:val="0"/>
          <w:numId w:val="30"/>
        </w:numPr>
        <w:spacing w:before="0"/>
      </w:pPr>
      <w:r>
        <w:t>Assessment for determining eligibility and vocational rehabilitation needs;</w:t>
      </w:r>
    </w:p>
    <w:p w14:paraId="3E759B47" w14:textId="63C96DCF" w:rsidR="001923E8" w:rsidRDefault="00DB0FAB" w:rsidP="006904B6">
      <w:pPr>
        <w:pStyle w:val="ListParagraph"/>
        <w:numPr>
          <w:ilvl w:val="0"/>
          <w:numId w:val="30"/>
        </w:numPr>
        <w:spacing w:before="0"/>
      </w:pPr>
      <w:r>
        <w:t>C</w:t>
      </w:r>
      <w:r w:rsidR="00EA02D0">
        <w:t xml:space="preserve">ounseling, guidance, </w:t>
      </w:r>
      <w:r w:rsidR="001923E8">
        <w:t>including information and support services to assist an individual in exercising informed choice, and;</w:t>
      </w:r>
    </w:p>
    <w:p w14:paraId="398A53B8" w14:textId="0C7446B6" w:rsidR="00EA02D0" w:rsidRDefault="001923E8" w:rsidP="006904B6">
      <w:pPr>
        <w:pStyle w:val="ListParagraph"/>
        <w:numPr>
          <w:ilvl w:val="0"/>
          <w:numId w:val="30"/>
        </w:numPr>
        <w:spacing w:before="0"/>
      </w:pPr>
      <w:r>
        <w:t>Referral and other services to secure needed services from other agencies, including other components of the statewide workforce development system as appropriate</w:t>
      </w:r>
      <w:r w:rsidR="00EA02D0">
        <w:t>;</w:t>
      </w:r>
    </w:p>
    <w:p w14:paraId="3AFB73D3" w14:textId="299DD994" w:rsidR="00EA02D0" w:rsidRDefault="00EA02D0" w:rsidP="006904B6">
      <w:pPr>
        <w:pStyle w:val="ListParagraph"/>
        <w:numPr>
          <w:ilvl w:val="0"/>
          <w:numId w:val="30"/>
        </w:numPr>
        <w:spacing w:before="0"/>
      </w:pPr>
      <w:r>
        <w:t>Job related services, including job search and placement assistance, job retention services, follow up services and follow along services;</w:t>
      </w:r>
    </w:p>
    <w:p w14:paraId="27B0CE2F" w14:textId="64B58F34" w:rsidR="00EA02D0" w:rsidRDefault="00EA02D0" w:rsidP="006904B6">
      <w:pPr>
        <w:pStyle w:val="ListParagraph"/>
        <w:numPr>
          <w:ilvl w:val="0"/>
          <w:numId w:val="30"/>
        </w:numPr>
        <w:spacing w:before="0"/>
      </w:pPr>
      <w:r>
        <w:t>Rehabilitation technology</w:t>
      </w:r>
      <w:r w:rsidR="001C2799">
        <w:t xml:space="preserve">, </w:t>
      </w:r>
      <w:r w:rsidR="001C2799" w:rsidRPr="001C2799">
        <w:t>including telecommunications, sensory, and other technological aids and devices</w:t>
      </w:r>
      <w:r>
        <w:t>;</w:t>
      </w:r>
    </w:p>
    <w:p w14:paraId="52B97046" w14:textId="0EEBBE9D" w:rsidR="00882762" w:rsidRDefault="00EA02D0" w:rsidP="006904B6">
      <w:pPr>
        <w:pStyle w:val="ListParagraph"/>
        <w:numPr>
          <w:ilvl w:val="0"/>
          <w:numId w:val="30"/>
        </w:numPr>
        <w:spacing w:before="0"/>
      </w:pPr>
      <w:r>
        <w:t xml:space="preserve">Post-employment services consisting of services listed under </w:t>
      </w:r>
      <w:r w:rsidR="001923E8">
        <w:t>B. 1</w:t>
      </w:r>
      <w:r>
        <w:t xml:space="preserve"> through</w:t>
      </w:r>
      <w:r w:rsidR="001923E8">
        <w:t xml:space="preserve"> 5</w:t>
      </w:r>
      <w:r>
        <w:t xml:space="preserve"> of this section.</w:t>
      </w:r>
    </w:p>
    <w:p w14:paraId="5E3C5BAC" w14:textId="618D16CE" w:rsidR="004C747C" w:rsidRDefault="004C747C" w:rsidP="00520367">
      <w:pPr>
        <w:pStyle w:val="BodyText"/>
        <w:spacing w:before="0"/>
        <w:ind w:left="720"/>
      </w:pPr>
    </w:p>
    <w:p w14:paraId="4B3AEC84" w14:textId="4E8E0F86" w:rsidR="00BE3882" w:rsidRDefault="00BE3882" w:rsidP="00520367">
      <w:pPr>
        <w:pStyle w:val="BodyText"/>
        <w:spacing w:before="0"/>
        <w:ind w:left="1440"/>
        <w:rPr>
          <w:b/>
          <w:color w:val="0070C0"/>
        </w:rPr>
      </w:pPr>
      <w:r>
        <w:rPr>
          <w:b/>
          <w:color w:val="0070C0"/>
        </w:rPr>
        <w:t xml:space="preserve">Guidance – </w:t>
      </w:r>
      <w:r w:rsidR="0011329F">
        <w:rPr>
          <w:b/>
          <w:color w:val="0070C0"/>
        </w:rPr>
        <w:t>Exemption exceptions</w:t>
      </w:r>
      <w:r>
        <w:rPr>
          <w:b/>
          <w:color w:val="0070C0"/>
        </w:rPr>
        <w:t>.</w:t>
      </w:r>
    </w:p>
    <w:p w14:paraId="79630D7A" w14:textId="4C4AFE95" w:rsidR="00BE3882" w:rsidRDefault="00BE3882" w:rsidP="00520367">
      <w:pPr>
        <w:pStyle w:val="BodyText"/>
        <w:spacing w:before="0"/>
        <w:ind w:left="1440"/>
        <w:rPr>
          <w:b/>
          <w:color w:val="0070C0"/>
        </w:rPr>
      </w:pPr>
    </w:p>
    <w:p w14:paraId="38C32DDE" w14:textId="0584AD9A" w:rsidR="0011329F" w:rsidRDefault="00BE3882" w:rsidP="00520367">
      <w:pPr>
        <w:pStyle w:val="BodyText"/>
        <w:spacing w:before="0"/>
        <w:ind w:left="1440"/>
        <w:rPr>
          <w:i/>
        </w:rPr>
      </w:pPr>
      <w:r>
        <w:rPr>
          <w:i/>
        </w:rPr>
        <w:t>A</w:t>
      </w:r>
      <w:r w:rsidR="0011329F">
        <w:rPr>
          <w:i/>
        </w:rPr>
        <w:t xml:space="preserve">lthough certain services may be exempt from determination of comparable services and benefits, a determination of possible comparable services and benefits may still be made if progress toward employment will not be jeopardized and if the </w:t>
      </w:r>
      <w:r w:rsidR="0011567A">
        <w:rPr>
          <w:i/>
        </w:rPr>
        <w:t>individual</w:t>
      </w:r>
      <w:r w:rsidR="0011329F">
        <w:rPr>
          <w:i/>
        </w:rPr>
        <w:t xml:space="preserve"> agrees.</w:t>
      </w:r>
    </w:p>
    <w:p w14:paraId="0E281AF8" w14:textId="77777777" w:rsidR="0011329F" w:rsidRDefault="0011329F" w:rsidP="00520367">
      <w:pPr>
        <w:pStyle w:val="BodyText"/>
        <w:spacing w:before="0"/>
        <w:ind w:left="1440"/>
        <w:rPr>
          <w:i/>
        </w:rPr>
      </w:pPr>
    </w:p>
    <w:p w14:paraId="5EE0BD63" w14:textId="79BB0FD0" w:rsidR="004877F3" w:rsidRDefault="0011329F" w:rsidP="00520367">
      <w:pPr>
        <w:pStyle w:val="BodyText"/>
        <w:spacing w:before="0"/>
        <w:ind w:left="1440"/>
        <w:rPr>
          <w:i/>
        </w:rPr>
      </w:pPr>
      <w:r>
        <w:rPr>
          <w:i/>
        </w:rPr>
        <w:t>For example:  If a</w:t>
      </w:r>
      <w:r w:rsidR="0011567A">
        <w:rPr>
          <w:i/>
        </w:rPr>
        <w:t>n individual</w:t>
      </w:r>
      <w:r>
        <w:rPr>
          <w:i/>
        </w:rPr>
        <w:t>, as a result of a work-related injury, needs a CCTV, the Workers’ Compensation insurance carrier may be requested to provide it.  If determining whether the carrier will provide it will impede progress, DBVI may provide the CCTV.  The Workers” Compensation carrier may subsequently be requested and expected to reimburse the funds expended.</w:t>
      </w:r>
      <w:r w:rsidR="008D4379">
        <w:rPr>
          <w:i/>
        </w:rPr>
        <w:t xml:space="preserve"> </w:t>
      </w:r>
    </w:p>
    <w:p w14:paraId="2B428135" w14:textId="77777777" w:rsidR="00D90577" w:rsidRDefault="00D90577" w:rsidP="00520367">
      <w:pPr>
        <w:pStyle w:val="BodyText"/>
        <w:spacing w:before="0"/>
        <w:ind w:left="1440"/>
        <w:rPr>
          <w:b/>
          <w:i/>
          <w:color w:val="0070C0"/>
        </w:rPr>
      </w:pPr>
    </w:p>
    <w:p w14:paraId="4F6331D6" w14:textId="124AE931" w:rsidR="008D4379" w:rsidRPr="008D4379" w:rsidRDefault="008D4379" w:rsidP="00520367">
      <w:pPr>
        <w:pStyle w:val="BodyText"/>
        <w:spacing w:before="0"/>
        <w:ind w:left="1440"/>
        <w:rPr>
          <w:b/>
          <w:i/>
          <w:color w:val="0070C0"/>
        </w:rPr>
      </w:pPr>
      <w:r>
        <w:rPr>
          <w:b/>
          <w:i/>
          <w:color w:val="0070C0"/>
        </w:rPr>
        <w:t>End Guidance.</w:t>
      </w:r>
    </w:p>
    <w:p w14:paraId="2608C525" w14:textId="2391044D" w:rsidR="00D9591F" w:rsidRDefault="00D9591F" w:rsidP="00520367">
      <w:pPr>
        <w:pStyle w:val="BodyText"/>
        <w:spacing w:before="0"/>
      </w:pPr>
    </w:p>
    <w:p w14:paraId="0D5EC036" w14:textId="213C8A3A" w:rsidR="0011567A" w:rsidRDefault="0011567A" w:rsidP="0011567A">
      <w:pPr>
        <w:pStyle w:val="BodyText"/>
        <w:spacing w:before="0"/>
        <w:ind w:left="360"/>
      </w:pPr>
    </w:p>
    <w:sectPr w:rsidR="0011567A"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28C911FF" w:rsidR="00BE3882" w:rsidRDefault="00F71CF6" w:rsidP="00E66FFC">
    <w:pPr>
      <w:pStyle w:val="Header"/>
    </w:pPr>
    <w:fldSimple w:instr=" REF  ChapterNumber  \* MERGEFORMAT ">
      <w:r w:rsidR="009B1C66" w:rsidRPr="00217CE9">
        <w:t>Chapter</w:t>
      </w:r>
      <w:r w:rsidR="009B1C66">
        <w:t xml:space="preserve"> 19:</w:t>
      </w:r>
    </w:fldSimple>
    <w:r w:rsidR="00BE3882">
      <w:t xml:space="preserve"> </w:t>
    </w:r>
    <w:r w:rsidR="00D32FF1">
      <w:t>Comparable Services and Benefits</w:t>
    </w:r>
  </w:p>
  <w:p w14:paraId="3BAE870B" w14:textId="5EC7DB6E"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E01976">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180668"/>
    <w:multiLevelType w:val="hybridMultilevel"/>
    <w:tmpl w:val="20D4E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B31E5"/>
    <w:multiLevelType w:val="hybridMultilevel"/>
    <w:tmpl w:val="D744D1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42AB1"/>
    <w:multiLevelType w:val="hybridMultilevel"/>
    <w:tmpl w:val="1EF62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53BA"/>
    <w:multiLevelType w:val="hybridMultilevel"/>
    <w:tmpl w:val="A7AE3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32B5F"/>
    <w:multiLevelType w:val="hybridMultilevel"/>
    <w:tmpl w:val="2918E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554159C"/>
    <w:multiLevelType w:val="multilevel"/>
    <w:tmpl w:val="6A6AEF8C"/>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4" w15:restartNumberingAfterBreak="0">
    <w:nsid w:val="3B880DE2"/>
    <w:multiLevelType w:val="multilevel"/>
    <w:tmpl w:val="58E6F87E"/>
    <w:numStyleLink w:val="PolicyList"/>
  </w:abstractNum>
  <w:abstractNum w:abstractNumId="15"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8" w15:restartNumberingAfterBreak="0">
    <w:nsid w:val="4F0D5B05"/>
    <w:multiLevelType w:val="multilevel"/>
    <w:tmpl w:val="157C82DE"/>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9"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EB3836"/>
    <w:multiLevelType w:val="hybridMultilevel"/>
    <w:tmpl w:val="F3C67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65996"/>
    <w:multiLevelType w:val="hybridMultilevel"/>
    <w:tmpl w:val="DABAA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50A58"/>
    <w:multiLevelType w:val="hybridMultilevel"/>
    <w:tmpl w:val="23BAE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057FE"/>
    <w:multiLevelType w:val="hybridMultilevel"/>
    <w:tmpl w:val="DD64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BC69E8"/>
    <w:multiLevelType w:val="hybridMultilevel"/>
    <w:tmpl w:val="6C1277E8"/>
    <w:lvl w:ilvl="0" w:tplc="5582D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8" w15:restartNumberingAfterBreak="0">
    <w:nsid w:val="71A3542B"/>
    <w:multiLevelType w:val="hybridMultilevel"/>
    <w:tmpl w:val="0A0C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C2FCE"/>
    <w:multiLevelType w:val="hybridMultilevel"/>
    <w:tmpl w:val="7D7A257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F1140"/>
    <w:multiLevelType w:val="hybridMultilevel"/>
    <w:tmpl w:val="71C409D6"/>
    <w:lvl w:ilvl="0" w:tplc="AC06F9D0">
      <w:start w:val="1"/>
      <w:numFmt w:val="decimal"/>
      <w:lvlText w:val="%1."/>
      <w:lvlJc w:val="left"/>
      <w:pPr>
        <w:ind w:left="720" w:hanging="360"/>
      </w:pPr>
      <w:rPr>
        <w:rFonts w:ascii="Franklin Gothic Book" w:hAnsi="Franklin Gothic Book"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2652519">
    <w:abstractNumId w:val="17"/>
  </w:num>
  <w:num w:numId="2" w16cid:durableId="500774432">
    <w:abstractNumId w:val="27"/>
  </w:num>
  <w:num w:numId="3" w16cid:durableId="395317900">
    <w:abstractNumId w:val="5"/>
  </w:num>
  <w:num w:numId="4" w16cid:durableId="1290939571">
    <w:abstractNumId w:val="4"/>
  </w:num>
  <w:num w:numId="5" w16cid:durableId="1821195447">
    <w:abstractNumId w:val="3"/>
  </w:num>
  <w:num w:numId="6" w16cid:durableId="1226064464">
    <w:abstractNumId w:val="2"/>
  </w:num>
  <w:num w:numId="7" w16cid:durableId="114057619">
    <w:abstractNumId w:val="1"/>
  </w:num>
  <w:num w:numId="8" w16cid:durableId="664168662">
    <w:abstractNumId w:val="0"/>
  </w:num>
  <w:num w:numId="9" w16cid:durableId="2127501987">
    <w:abstractNumId w:val="12"/>
  </w:num>
  <w:num w:numId="10" w16cid:durableId="221446414">
    <w:abstractNumId w:val="24"/>
  </w:num>
  <w:num w:numId="11" w16cid:durableId="1099328891">
    <w:abstractNumId w:val="31"/>
  </w:num>
  <w:num w:numId="12" w16cid:durableId="859977664">
    <w:abstractNumId w:val="19"/>
  </w:num>
  <w:num w:numId="13" w16cid:durableId="1767656153">
    <w:abstractNumId w:val="25"/>
  </w:num>
  <w:num w:numId="14" w16cid:durableId="270168843">
    <w:abstractNumId w:val="14"/>
  </w:num>
  <w:num w:numId="15" w16cid:durableId="1834027641">
    <w:abstractNumId w:val="15"/>
  </w:num>
  <w:num w:numId="16" w16cid:durableId="275448611">
    <w:abstractNumId w:val="6"/>
  </w:num>
  <w:num w:numId="17" w16cid:durableId="1202354971">
    <w:abstractNumId w:val="16"/>
  </w:num>
  <w:num w:numId="18" w16cid:durableId="992677442">
    <w:abstractNumId w:val="11"/>
  </w:num>
  <w:num w:numId="19" w16cid:durableId="1981108005">
    <w:abstractNumId w:val="9"/>
  </w:num>
  <w:num w:numId="20" w16cid:durableId="826357253">
    <w:abstractNumId w:val="18"/>
  </w:num>
  <w:num w:numId="21" w16cid:durableId="1114982341">
    <w:abstractNumId w:val="10"/>
  </w:num>
  <w:num w:numId="22" w16cid:durableId="49691395">
    <w:abstractNumId w:val="22"/>
  </w:num>
  <w:num w:numId="23" w16cid:durableId="1170296878">
    <w:abstractNumId w:val="13"/>
  </w:num>
  <w:num w:numId="24" w16cid:durableId="1314748621">
    <w:abstractNumId w:val="7"/>
  </w:num>
  <w:num w:numId="25" w16cid:durableId="902181877">
    <w:abstractNumId w:val="20"/>
  </w:num>
  <w:num w:numId="26" w16cid:durableId="1997604589">
    <w:abstractNumId w:val="21"/>
  </w:num>
  <w:num w:numId="27" w16cid:durableId="1623685196">
    <w:abstractNumId w:val="8"/>
  </w:num>
  <w:num w:numId="28" w16cid:durableId="786049387">
    <w:abstractNumId w:val="29"/>
  </w:num>
  <w:num w:numId="29" w16cid:durableId="656763122">
    <w:abstractNumId w:val="30"/>
  </w:num>
  <w:num w:numId="30" w16cid:durableId="2033528822">
    <w:abstractNumId w:val="23"/>
  </w:num>
  <w:num w:numId="31" w16cid:durableId="1423138222">
    <w:abstractNumId w:val="26"/>
  </w:num>
  <w:num w:numId="32" w16cid:durableId="1165315533">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33A83"/>
    <w:rsid w:val="00070A04"/>
    <w:rsid w:val="00070FC8"/>
    <w:rsid w:val="00082EE2"/>
    <w:rsid w:val="00090CCC"/>
    <w:rsid w:val="000B7FAC"/>
    <w:rsid w:val="000D3BC7"/>
    <w:rsid w:val="000D55A6"/>
    <w:rsid w:val="000D63E3"/>
    <w:rsid w:val="000E2E5E"/>
    <w:rsid w:val="000E5EAD"/>
    <w:rsid w:val="000F4A20"/>
    <w:rsid w:val="0011329F"/>
    <w:rsid w:val="00113EB2"/>
    <w:rsid w:val="0011567A"/>
    <w:rsid w:val="00116D2A"/>
    <w:rsid w:val="00121F48"/>
    <w:rsid w:val="00122932"/>
    <w:rsid w:val="00135AB4"/>
    <w:rsid w:val="00152EFC"/>
    <w:rsid w:val="00171F93"/>
    <w:rsid w:val="0018485A"/>
    <w:rsid w:val="001923E8"/>
    <w:rsid w:val="001A08C2"/>
    <w:rsid w:val="001A20BB"/>
    <w:rsid w:val="001A6448"/>
    <w:rsid w:val="001C2799"/>
    <w:rsid w:val="001C35CC"/>
    <w:rsid w:val="001C6270"/>
    <w:rsid w:val="001D14BC"/>
    <w:rsid w:val="001D682B"/>
    <w:rsid w:val="001F146C"/>
    <w:rsid w:val="001F20E4"/>
    <w:rsid w:val="001F5784"/>
    <w:rsid w:val="00200D4D"/>
    <w:rsid w:val="002017E7"/>
    <w:rsid w:val="0021151E"/>
    <w:rsid w:val="00217CE9"/>
    <w:rsid w:val="00256244"/>
    <w:rsid w:val="002671FD"/>
    <w:rsid w:val="0027370E"/>
    <w:rsid w:val="002850DC"/>
    <w:rsid w:val="003076AD"/>
    <w:rsid w:val="00307822"/>
    <w:rsid w:val="00311862"/>
    <w:rsid w:val="00317079"/>
    <w:rsid w:val="0032251B"/>
    <w:rsid w:val="00334DFD"/>
    <w:rsid w:val="00340C6E"/>
    <w:rsid w:val="00354E8A"/>
    <w:rsid w:val="0036205E"/>
    <w:rsid w:val="0037675D"/>
    <w:rsid w:val="00382BBF"/>
    <w:rsid w:val="00383F81"/>
    <w:rsid w:val="00390203"/>
    <w:rsid w:val="00396789"/>
    <w:rsid w:val="003C2CE1"/>
    <w:rsid w:val="003D0B28"/>
    <w:rsid w:val="003D604F"/>
    <w:rsid w:val="003D723C"/>
    <w:rsid w:val="003E78CD"/>
    <w:rsid w:val="003F229D"/>
    <w:rsid w:val="00400DAF"/>
    <w:rsid w:val="004157DC"/>
    <w:rsid w:val="00444D16"/>
    <w:rsid w:val="00472CC3"/>
    <w:rsid w:val="004761E0"/>
    <w:rsid w:val="004877F3"/>
    <w:rsid w:val="00497E1E"/>
    <w:rsid w:val="004A3856"/>
    <w:rsid w:val="004A586E"/>
    <w:rsid w:val="004A777D"/>
    <w:rsid w:val="004B75E2"/>
    <w:rsid w:val="004C2984"/>
    <w:rsid w:val="004C747C"/>
    <w:rsid w:val="004E33B5"/>
    <w:rsid w:val="004E766E"/>
    <w:rsid w:val="00520367"/>
    <w:rsid w:val="00523947"/>
    <w:rsid w:val="00524DA7"/>
    <w:rsid w:val="00531CA5"/>
    <w:rsid w:val="00542BBB"/>
    <w:rsid w:val="00543296"/>
    <w:rsid w:val="00550F23"/>
    <w:rsid w:val="0059376F"/>
    <w:rsid w:val="005A1313"/>
    <w:rsid w:val="005A754A"/>
    <w:rsid w:val="005C7B76"/>
    <w:rsid w:val="005D576B"/>
    <w:rsid w:val="005E087B"/>
    <w:rsid w:val="006202DD"/>
    <w:rsid w:val="00620C10"/>
    <w:rsid w:val="006310BF"/>
    <w:rsid w:val="006417F4"/>
    <w:rsid w:val="00643C4C"/>
    <w:rsid w:val="00660DFA"/>
    <w:rsid w:val="0066141C"/>
    <w:rsid w:val="0066230F"/>
    <w:rsid w:val="00677F3C"/>
    <w:rsid w:val="006800DC"/>
    <w:rsid w:val="006904B6"/>
    <w:rsid w:val="00690660"/>
    <w:rsid w:val="006A05B5"/>
    <w:rsid w:val="006A0F73"/>
    <w:rsid w:val="006B2108"/>
    <w:rsid w:val="006B3F6A"/>
    <w:rsid w:val="006C4BCE"/>
    <w:rsid w:val="006C668C"/>
    <w:rsid w:val="006C7DEE"/>
    <w:rsid w:val="006F4B06"/>
    <w:rsid w:val="006F7C39"/>
    <w:rsid w:val="0070105A"/>
    <w:rsid w:val="007154E1"/>
    <w:rsid w:val="00725564"/>
    <w:rsid w:val="00733637"/>
    <w:rsid w:val="00756A61"/>
    <w:rsid w:val="00757698"/>
    <w:rsid w:val="007609E8"/>
    <w:rsid w:val="007738D2"/>
    <w:rsid w:val="00776F82"/>
    <w:rsid w:val="00786C3D"/>
    <w:rsid w:val="007A04D9"/>
    <w:rsid w:val="007A21DE"/>
    <w:rsid w:val="007A5B24"/>
    <w:rsid w:val="007B5CDA"/>
    <w:rsid w:val="007C321E"/>
    <w:rsid w:val="007C3265"/>
    <w:rsid w:val="007C6B53"/>
    <w:rsid w:val="007D69D1"/>
    <w:rsid w:val="007D7944"/>
    <w:rsid w:val="007E3695"/>
    <w:rsid w:val="007F70A4"/>
    <w:rsid w:val="00831675"/>
    <w:rsid w:val="00835F24"/>
    <w:rsid w:val="008474D9"/>
    <w:rsid w:val="008510CD"/>
    <w:rsid w:val="00854747"/>
    <w:rsid w:val="00867EEB"/>
    <w:rsid w:val="00882762"/>
    <w:rsid w:val="008A34F5"/>
    <w:rsid w:val="008A36FB"/>
    <w:rsid w:val="008A481F"/>
    <w:rsid w:val="008C52B4"/>
    <w:rsid w:val="008D124B"/>
    <w:rsid w:val="008D4379"/>
    <w:rsid w:val="008D67E8"/>
    <w:rsid w:val="008D6AD9"/>
    <w:rsid w:val="008F4D6B"/>
    <w:rsid w:val="00911281"/>
    <w:rsid w:val="00915CA6"/>
    <w:rsid w:val="00916D2A"/>
    <w:rsid w:val="00917941"/>
    <w:rsid w:val="00923F84"/>
    <w:rsid w:val="00934A08"/>
    <w:rsid w:val="00955689"/>
    <w:rsid w:val="00961E60"/>
    <w:rsid w:val="0096648C"/>
    <w:rsid w:val="009727FD"/>
    <w:rsid w:val="00984B15"/>
    <w:rsid w:val="0099333A"/>
    <w:rsid w:val="009B0986"/>
    <w:rsid w:val="009B1C66"/>
    <w:rsid w:val="009D2F48"/>
    <w:rsid w:val="009D31CA"/>
    <w:rsid w:val="00A01FF8"/>
    <w:rsid w:val="00A32A17"/>
    <w:rsid w:val="00A32ABB"/>
    <w:rsid w:val="00A34A37"/>
    <w:rsid w:val="00A36337"/>
    <w:rsid w:val="00A4297C"/>
    <w:rsid w:val="00A62B1D"/>
    <w:rsid w:val="00A65035"/>
    <w:rsid w:val="00A67426"/>
    <w:rsid w:val="00A86178"/>
    <w:rsid w:val="00AA54D2"/>
    <w:rsid w:val="00AA74B7"/>
    <w:rsid w:val="00AD204A"/>
    <w:rsid w:val="00AF5A00"/>
    <w:rsid w:val="00B04D4C"/>
    <w:rsid w:val="00B07D50"/>
    <w:rsid w:val="00B20CDA"/>
    <w:rsid w:val="00B30C70"/>
    <w:rsid w:val="00B326E1"/>
    <w:rsid w:val="00B726A5"/>
    <w:rsid w:val="00B73DB4"/>
    <w:rsid w:val="00B847F0"/>
    <w:rsid w:val="00B85871"/>
    <w:rsid w:val="00B86EE0"/>
    <w:rsid w:val="00BA3500"/>
    <w:rsid w:val="00BA5FCC"/>
    <w:rsid w:val="00BC5122"/>
    <w:rsid w:val="00BE1D28"/>
    <w:rsid w:val="00BE3882"/>
    <w:rsid w:val="00BF5AFE"/>
    <w:rsid w:val="00C03088"/>
    <w:rsid w:val="00C26C69"/>
    <w:rsid w:val="00C431F4"/>
    <w:rsid w:val="00C66FD6"/>
    <w:rsid w:val="00C67F83"/>
    <w:rsid w:val="00C81348"/>
    <w:rsid w:val="00C87F89"/>
    <w:rsid w:val="00CB0218"/>
    <w:rsid w:val="00CB1695"/>
    <w:rsid w:val="00CB58A9"/>
    <w:rsid w:val="00CC6127"/>
    <w:rsid w:val="00CE2A80"/>
    <w:rsid w:val="00CF635B"/>
    <w:rsid w:val="00D134C8"/>
    <w:rsid w:val="00D155D2"/>
    <w:rsid w:val="00D32FF1"/>
    <w:rsid w:val="00D4380D"/>
    <w:rsid w:val="00D468DC"/>
    <w:rsid w:val="00D65E4C"/>
    <w:rsid w:val="00D90577"/>
    <w:rsid w:val="00D90E71"/>
    <w:rsid w:val="00D94366"/>
    <w:rsid w:val="00D9591F"/>
    <w:rsid w:val="00DA5C8E"/>
    <w:rsid w:val="00DB0FAB"/>
    <w:rsid w:val="00DC5C4B"/>
    <w:rsid w:val="00DD0542"/>
    <w:rsid w:val="00DE4A95"/>
    <w:rsid w:val="00E01976"/>
    <w:rsid w:val="00E05D7F"/>
    <w:rsid w:val="00E10D38"/>
    <w:rsid w:val="00E1247A"/>
    <w:rsid w:val="00E17BCD"/>
    <w:rsid w:val="00E20101"/>
    <w:rsid w:val="00E44E05"/>
    <w:rsid w:val="00E61D7C"/>
    <w:rsid w:val="00E66FFC"/>
    <w:rsid w:val="00E841C3"/>
    <w:rsid w:val="00E866EB"/>
    <w:rsid w:val="00E92F91"/>
    <w:rsid w:val="00E93B04"/>
    <w:rsid w:val="00EA02D0"/>
    <w:rsid w:val="00EB2056"/>
    <w:rsid w:val="00EB2145"/>
    <w:rsid w:val="00EB3F9F"/>
    <w:rsid w:val="00EB679D"/>
    <w:rsid w:val="00EC64AA"/>
    <w:rsid w:val="00EE4DF7"/>
    <w:rsid w:val="00EE6E8A"/>
    <w:rsid w:val="00EF2A73"/>
    <w:rsid w:val="00F03DA5"/>
    <w:rsid w:val="00F041B5"/>
    <w:rsid w:val="00F24F2D"/>
    <w:rsid w:val="00F27378"/>
    <w:rsid w:val="00F313BE"/>
    <w:rsid w:val="00F36245"/>
    <w:rsid w:val="00F6553C"/>
    <w:rsid w:val="00F70DA8"/>
    <w:rsid w:val="00F71CF6"/>
    <w:rsid w:val="00F733E6"/>
    <w:rsid w:val="00F861E5"/>
    <w:rsid w:val="00F907EB"/>
    <w:rsid w:val="00F91989"/>
    <w:rsid w:val="00FB35C7"/>
    <w:rsid w:val="00FC6667"/>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3640</Characters>
  <Application>Microsoft Office Word</Application>
  <DocSecurity>4</DocSecurity>
  <Lines>117</Lines>
  <Paragraphs>127</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2020-11-13T22:33:00Z</cp:lastPrinted>
  <dcterms:created xsi:type="dcterms:W3CDTF">2023-11-08T18:22:00Z</dcterms:created>
  <dcterms:modified xsi:type="dcterms:W3CDTF">2023-11-08T18:22:00Z</dcterms:modified>
</cp:coreProperties>
</file>