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C75E" w14:textId="235EAB9A" w:rsidR="00E66FFC" w:rsidRDefault="00CB58A9" w:rsidP="00070FC8">
      <w:pPr>
        <w:pStyle w:val="Title"/>
      </w:pPr>
      <w:bookmarkStart w:id="0" w:name="ChapterNumber"/>
      <w:r w:rsidRPr="00217CE9">
        <w:t>Chapter</w:t>
      </w:r>
      <w:r>
        <w:t xml:space="preserve"> </w:t>
      </w:r>
      <w:r w:rsidR="00982A90">
        <w:t>21</w:t>
      </w:r>
      <w:r w:rsidR="008A481F">
        <w:t>:</w:t>
      </w:r>
      <w:bookmarkEnd w:id="0"/>
    </w:p>
    <w:p w14:paraId="0BD51514" w14:textId="1A8B2D51" w:rsidR="00CB58A9" w:rsidRDefault="00982A90" w:rsidP="00217CE9">
      <w:pPr>
        <w:pStyle w:val="Title"/>
      </w:pPr>
      <w:r>
        <w:t xml:space="preserve">Ticket </w:t>
      </w:r>
      <w:r w:rsidR="00EC4390">
        <w:t>t</w:t>
      </w:r>
      <w:r>
        <w:t>o Work</w:t>
      </w:r>
    </w:p>
    <w:p w14:paraId="23714B2B" w14:textId="703DA2B3" w:rsidR="000B7FAC" w:rsidRDefault="00217CE9" w:rsidP="000B7FAC">
      <w:r w:rsidRPr="00217CE9">
        <w:t xml:space="preserve">Vermont </w:t>
      </w:r>
      <w:r>
        <w:t xml:space="preserve">Division </w:t>
      </w:r>
      <w:r w:rsidR="009B0986">
        <w:t>for the Blind and Visually Impaired</w:t>
      </w:r>
      <w:r>
        <w:br/>
      </w:r>
      <w:r w:rsidR="00A36337">
        <w:t>Policy and</w:t>
      </w:r>
      <w:r w:rsidRPr="00217CE9">
        <w:t xml:space="preserve"> Procedures Manual</w:t>
      </w:r>
    </w:p>
    <w:p w14:paraId="0797AB5C" w14:textId="6095A57D" w:rsidR="000B7FAC" w:rsidRDefault="000B7FAC" w:rsidP="000B7FAC"/>
    <w:p w14:paraId="67FA87AC" w14:textId="38B0DDB5" w:rsidR="000B7FAC" w:rsidRDefault="000B7FAC" w:rsidP="000B7FAC">
      <w:r>
        <w:t xml:space="preserve">Revision Date:  </w:t>
      </w:r>
      <w:r w:rsidR="003F3D39">
        <w:t>February 2022</w:t>
      </w:r>
    </w:p>
    <w:p w14:paraId="1D1D83F2" w14:textId="4C5D75A1" w:rsidR="000B7FAC" w:rsidRDefault="000B7FAC" w:rsidP="000B7FAC">
      <w:pPr>
        <w:sectPr w:rsidR="000B7FAC"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42CF51EE" w:rsidR="007D7944" w:rsidRDefault="00CD12EF">
          <w:pPr>
            <w:pStyle w:val="TOCHeading"/>
          </w:pPr>
          <w:r>
            <w:t>Table of C</w:t>
          </w:r>
          <w:r w:rsidR="007D7944">
            <w:t>ontents</w:t>
          </w:r>
        </w:p>
        <w:p w14:paraId="11663776" w14:textId="0A9F6409" w:rsidR="00FD434C"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95237199" w:history="1">
            <w:r w:rsidR="00FD434C" w:rsidRPr="00A64FE4">
              <w:rPr>
                <w:rStyle w:val="Hyperlink"/>
              </w:rPr>
              <w:t>Section I.</w:t>
            </w:r>
            <w:r w:rsidR="00FD434C">
              <w:rPr>
                <w:rFonts w:asciiTheme="minorHAnsi" w:hAnsiTheme="minorHAnsi"/>
                <w:sz w:val="22"/>
                <w:szCs w:val="22"/>
                <w:lang w:eastAsia="en-US"/>
              </w:rPr>
              <w:tab/>
            </w:r>
            <w:r w:rsidR="00FD434C" w:rsidRPr="00A64FE4">
              <w:rPr>
                <w:rStyle w:val="Hyperlink"/>
              </w:rPr>
              <w:t>Definitions</w:t>
            </w:r>
            <w:r w:rsidR="00FD434C">
              <w:rPr>
                <w:webHidden/>
              </w:rPr>
              <w:tab/>
            </w:r>
            <w:r w:rsidR="00FD434C">
              <w:rPr>
                <w:webHidden/>
              </w:rPr>
              <w:fldChar w:fldCharType="begin"/>
            </w:r>
            <w:r w:rsidR="00FD434C">
              <w:rPr>
                <w:webHidden/>
              </w:rPr>
              <w:instrText xml:space="preserve"> PAGEREF _Toc95237199 \h </w:instrText>
            </w:r>
            <w:r w:rsidR="00FD434C">
              <w:rPr>
                <w:webHidden/>
              </w:rPr>
            </w:r>
            <w:r w:rsidR="00FD434C">
              <w:rPr>
                <w:webHidden/>
              </w:rPr>
              <w:fldChar w:fldCharType="separate"/>
            </w:r>
            <w:r w:rsidR="00FD434C">
              <w:rPr>
                <w:webHidden/>
              </w:rPr>
              <w:t>2</w:t>
            </w:r>
            <w:r w:rsidR="00FD434C">
              <w:rPr>
                <w:webHidden/>
              </w:rPr>
              <w:fldChar w:fldCharType="end"/>
            </w:r>
          </w:hyperlink>
        </w:p>
        <w:p w14:paraId="196A6CB5" w14:textId="0C5DD71A" w:rsidR="00FD434C" w:rsidRDefault="00FE3633">
          <w:pPr>
            <w:pStyle w:val="TOC1"/>
            <w:rPr>
              <w:rFonts w:asciiTheme="minorHAnsi" w:hAnsiTheme="minorHAnsi"/>
              <w:sz w:val="22"/>
              <w:szCs w:val="22"/>
              <w:lang w:eastAsia="en-US"/>
            </w:rPr>
          </w:pPr>
          <w:hyperlink w:anchor="_Toc95237200" w:history="1">
            <w:r w:rsidR="00FD434C" w:rsidRPr="00A64FE4">
              <w:rPr>
                <w:rStyle w:val="Hyperlink"/>
              </w:rPr>
              <w:t>Section II.</w:t>
            </w:r>
            <w:r w:rsidR="00FD434C">
              <w:rPr>
                <w:rFonts w:asciiTheme="minorHAnsi" w:hAnsiTheme="minorHAnsi"/>
                <w:sz w:val="22"/>
                <w:szCs w:val="22"/>
                <w:lang w:eastAsia="en-US"/>
              </w:rPr>
              <w:tab/>
            </w:r>
            <w:r w:rsidR="00FD434C" w:rsidRPr="00A64FE4">
              <w:rPr>
                <w:rStyle w:val="Hyperlink"/>
              </w:rPr>
              <w:t>Overview</w:t>
            </w:r>
            <w:r w:rsidR="00FD434C">
              <w:rPr>
                <w:webHidden/>
              </w:rPr>
              <w:tab/>
            </w:r>
            <w:r w:rsidR="00FD434C">
              <w:rPr>
                <w:webHidden/>
              </w:rPr>
              <w:fldChar w:fldCharType="begin"/>
            </w:r>
            <w:r w:rsidR="00FD434C">
              <w:rPr>
                <w:webHidden/>
              </w:rPr>
              <w:instrText xml:space="preserve"> PAGEREF _Toc95237200 \h </w:instrText>
            </w:r>
            <w:r w:rsidR="00FD434C">
              <w:rPr>
                <w:webHidden/>
              </w:rPr>
            </w:r>
            <w:r w:rsidR="00FD434C">
              <w:rPr>
                <w:webHidden/>
              </w:rPr>
              <w:fldChar w:fldCharType="separate"/>
            </w:r>
            <w:r w:rsidR="00FD434C">
              <w:rPr>
                <w:webHidden/>
              </w:rPr>
              <w:t>2</w:t>
            </w:r>
            <w:r w:rsidR="00FD434C">
              <w:rPr>
                <w:webHidden/>
              </w:rPr>
              <w:fldChar w:fldCharType="end"/>
            </w:r>
          </w:hyperlink>
        </w:p>
        <w:p w14:paraId="22D91022" w14:textId="2A82E9AF" w:rsidR="00FD434C" w:rsidRDefault="00FE3633">
          <w:pPr>
            <w:pStyle w:val="TOC1"/>
            <w:rPr>
              <w:rFonts w:asciiTheme="minorHAnsi" w:hAnsiTheme="minorHAnsi"/>
              <w:sz w:val="22"/>
              <w:szCs w:val="22"/>
              <w:lang w:eastAsia="en-US"/>
            </w:rPr>
          </w:pPr>
          <w:hyperlink w:anchor="_Toc95237201" w:history="1">
            <w:r w:rsidR="00FD434C" w:rsidRPr="00A64FE4">
              <w:rPr>
                <w:rStyle w:val="Hyperlink"/>
              </w:rPr>
              <w:t xml:space="preserve">Section III.  </w:t>
            </w:r>
            <w:r w:rsidR="00200726">
              <w:rPr>
                <w:rStyle w:val="Hyperlink"/>
              </w:rPr>
              <w:t xml:space="preserve">    </w:t>
            </w:r>
            <w:r w:rsidR="00FD434C" w:rsidRPr="00A64FE4">
              <w:rPr>
                <w:rStyle w:val="Hyperlink"/>
              </w:rPr>
              <w:t>General Procedures</w:t>
            </w:r>
            <w:r w:rsidR="00FD434C">
              <w:rPr>
                <w:webHidden/>
              </w:rPr>
              <w:tab/>
            </w:r>
            <w:r w:rsidR="00FD434C">
              <w:rPr>
                <w:webHidden/>
              </w:rPr>
              <w:fldChar w:fldCharType="begin"/>
            </w:r>
            <w:r w:rsidR="00FD434C">
              <w:rPr>
                <w:webHidden/>
              </w:rPr>
              <w:instrText xml:space="preserve"> PAGEREF _Toc95237201 \h </w:instrText>
            </w:r>
            <w:r w:rsidR="00FD434C">
              <w:rPr>
                <w:webHidden/>
              </w:rPr>
            </w:r>
            <w:r w:rsidR="00FD434C">
              <w:rPr>
                <w:webHidden/>
              </w:rPr>
              <w:fldChar w:fldCharType="separate"/>
            </w:r>
            <w:r w:rsidR="00FD434C">
              <w:rPr>
                <w:webHidden/>
              </w:rPr>
              <w:t>3</w:t>
            </w:r>
            <w:r w:rsidR="00FD434C">
              <w:rPr>
                <w:webHidden/>
              </w:rPr>
              <w:fldChar w:fldCharType="end"/>
            </w:r>
          </w:hyperlink>
        </w:p>
        <w:p w14:paraId="7C4C9A8D" w14:textId="773AB779" w:rsidR="00FD434C" w:rsidRDefault="00FE3633">
          <w:pPr>
            <w:pStyle w:val="TOC1"/>
            <w:rPr>
              <w:rFonts w:asciiTheme="minorHAnsi" w:hAnsiTheme="minorHAnsi"/>
              <w:sz w:val="22"/>
              <w:szCs w:val="22"/>
              <w:lang w:eastAsia="en-US"/>
            </w:rPr>
          </w:pPr>
          <w:hyperlink w:anchor="_Toc95237202" w:history="1">
            <w:r w:rsidR="00FD434C" w:rsidRPr="00A64FE4">
              <w:rPr>
                <w:rStyle w:val="Hyperlink"/>
              </w:rPr>
              <w:t xml:space="preserve">Section IV.  </w:t>
            </w:r>
            <w:r w:rsidR="00200726">
              <w:rPr>
                <w:rStyle w:val="Hyperlink"/>
              </w:rPr>
              <w:t xml:space="preserve">    </w:t>
            </w:r>
            <w:r w:rsidR="00FD434C" w:rsidRPr="00A64FE4">
              <w:rPr>
                <w:rStyle w:val="Hyperlink"/>
              </w:rPr>
              <w:t>Continuing Disability Review (CDR)</w:t>
            </w:r>
            <w:r w:rsidR="00FD434C">
              <w:rPr>
                <w:webHidden/>
              </w:rPr>
              <w:tab/>
            </w:r>
            <w:r w:rsidR="00FD434C">
              <w:rPr>
                <w:webHidden/>
              </w:rPr>
              <w:fldChar w:fldCharType="begin"/>
            </w:r>
            <w:r w:rsidR="00FD434C">
              <w:rPr>
                <w:webHidden/>
              </w:rPr>
              <w:instrText xml:space="preserve"> PAGEREF _Toc95237202 \h </w:instrText>
            </w:r>
            <w:r w:rsidR="00FD434C">
              <w:rPr>
                <w:webHidden/>
              </w:rPr>
            </w:r>
            <w:r w:rsidR="00FD434C">
              <w:rPr>
                <w:webHidden/>
              </w:rPr>
              <w:fldChar w:fldCharType="separate"/>
            </w:r>
            <w:r w:rsidR="00FD434C">
              <w:rPr>
                <w:webHidden/>
              </w:rPr>
              <w:t>4</w:t>
            </w:r>
            <w:r w:rsidR="00FD434C">
              <w:rPr>
                <w:webHidden/>
              </w:rPr>
              <w:fldChar w:fldCharType="end"/>
            </w:r>
          </w:hyperlink>
        </w:p>
        <w:p w14:paraId="21D207E3" w14:textId="2902A972" w:rsidR="00FD434C" w:rsidRDefault="00FE3633">
          <w:pPr>
            <w:pStyle w:val="TOC1"/>
            <w:rPr>
              <w:rFonts w:asciiTheme="minorHAnsi" w:hAnsiTheme="minorHAnsi"/>
              <w:sz w:val="22"/>
              <w:szCs w:val="22"/>
              <w:lang w:eastAsia="en-US"/>
            </w:rPr>
          </w:pPr>
          <w:hyperlink w:anchor="_Toc95237203" w:history="1">
            <w:r w:rsidR="00FD434C" w:rsidRPr="00A64FE4">
              <w:rPr>
                <w:rStyle w:val="Hyperlink"/>
              </w:rPr>
              <w:t xml:space="preserve">Section V.  </w:t>
            </w:r>
            <w:r w:rsidR="00200726">
              <w:rPr>
                <w:rStyle w:val="Hyperlink"/>
              </w:rPr>
              <w:t xml:space="preserve">     </w:t>
            </w:r>
            <w:r w:rsidR="00FD434C" w:rsidRPr="00A64FE4">
              <w:rPr>
                <w:rStyle w:val="Hyperlink"/>
              </w:rPr>
              <w:t>Employment Network Partnerships</w:t>
            </w:r>
            <w:r w:rsidR="00FD434C">
              <w:rPr>
                <w:webHidden/>
              </w:rPr>
              <w:tab/>
            </w:r>
            <w:r w:rsidR="00FD434C">
              <w:rPr>
                <w:webHidden/>
              </w:rPr>
              <w:fldChar w:fldCharType="begin"/>
            </w:r>
            <w:r w:rsidR="00FD434C">
              <w:rPr>
                <w:webHidden/>
              </w:rPr>
              <w:instrText xml:space="preserve"> PAGEREF _Toc95237203 \h </w:instrText>
            </w:r>
            <w:r w:rsidR="00FD434C">
              <w:rPr>
                <w:webHidden/>
              </w:rPr>
            </w:r>
            <w:r w:rsidR="00FD434C">
              <w:rPr>
                <w:webHidden/>
              </w:rPr>
              <w:fldChar w:fldCharType="separate"/>
            </w:r>
            <w:r w:rsidR="00FD434C">
              <w:rPr>
                <w:webHidden/>
              </w:rPr>
              <w:t>5</w:t>
            </w:r>
            <w:r w:rsidR="00FD434C">
              <w:rPr>
                <w:webHidden/>
              </w:rPr>
              <w:fldChar w:fldCharType="end"/>
            </w:r>
          </w:hyperlink>
        </w:p>
        <w:p w14:paraId="11856244" w14:textId="76916E78" w:rsidR="00FD434C" w:rsidRDefault="00FE3633">
          <w:pPr>
            <w:pStyle w:val="TOC1"/>
            <w:rPr>
              <w:rFonts w:asciiTheme="minorHAnsi" w:hAnsiTheme="minorHAnsi"/>
              <w:sz w:val="22"/>
              <w:szCs w:val="22"/>
              <w:lang w:eastAsia="en-US"/>
            </w:rPr>
          </w:pPr>
          <w:hyperlink w:anchor="_Toc95237204" w:history="1">
            <w:r w:rsidR="00FD434C" w:rsidRPr="00A64FE4">
              <w:rPr>
                <w:rStyle w:val="Hyperlink"/>
              </w:rPr>
              <w:t xml:space="preserve">Section VI.  </w:t>
            </w:r>
            <w:r w:rsidR="00200726">
              <w:rPr>
                <w:rStyle w:val="Hyperlink"/>
              </w:rPr>
              <w:t xml:space="preserve">    </w:t>
            </w:r>
            <w:r w:rsidR="00FD434C" w:rsidRPr="00A64FE4">
              <w:rPr>
                <w:rStyle w:val="Hyperlink"/>
              </w:rPr>
              <w:t>Changes in Procedures</w:t>
            </w:r>
            <w:r w:rsidR="00FD434C">
              <w:rPr>
                <w:webHidden/>
              </w:rPr>
              <w:tab/>
            </w:r>
            <w:r w:rsidR="00FD434C">
              <w:rPr>
                <w:webHidden/>
              </w:rPr>
              <w:fldChar w:fldCharType="begin"/>
            </w:r>
            <w:r w:rsidR="00FD434C">
              <w:rPr>
                <w:webHidden/>
              </w:rPr>
              <w:instrText xml:space="preserve"> PAGEREF _Toc95237204 \h </w:instrText>
            </w:r>
            <w:r w:rsidR="00FD434C">
              <w:rPr>
                <w:webHidden/>
              </w:rPr>
            </w:r>
            <w:r w:rsidR="00FD434C">
              <w:rPr>
                <w:webHidden/>
              </w:rPr>
              <w:fldChar w:fldCharType="separate"/>
            </w:r>
            <w:r w:rsidR="00FD434C">
              <w:rPr>
                <w:webHidden/>
              </w:rPr>
              <w:t>5</w:t>
            </w:r>
            <w:r w:rsidR="00FD434C">
              <w:rPr>
                <w:webHidden/>
              </w:rPr>
              <w:fldChar w:fldCharType="end"/>
            </w:r>
          </w:hyperlink>
        </w:p>
        <w:p w14:paraId="4517732A" w14:textId="74F2C5FA" w:rsidR="00FD434C" w:rsidRDefault="00FE3633">
          <w:pPr>
            <w:pStyle w:val="TOC1"/>
            <w:rPr>
              <w:rFonts w:asciiTheme="minorHAnsi" w:hAnsiTheme="minorHAnsi"/>
              <w:sz w:val="22"/>
              <w:szCs w:val="22"/>
              <w:lang w:eastAsia="en-US"/>
            </w:rPr>
          </w:pPr>
          <w:hyperlink w:anchor="_Toc95237205" w:history="1">
            <w:r w:rsidR="00FD434C" w:rsidRPr="00A64FE4">
              <w:rPr>
                <w:rStyle w:val="Hyperlink"/>
              </w:rPr>
              <w:t xml:space="preserve">Section VII.  </w:t>
            </w:r>
            <w:r w:rsidR="00200726">
              <w:rPr>
                <w:rStyle w:val="Hyperlink"/>
              </w:rPr>
              <w:t xml:space="preserve">   </w:t>
            </w:r>
            <w:r w:rsidR="00FD434C" w:rsidRPr="00A64FE4">
              <w:rPr>
                <w:rStyle w:val="Hyperlink"/>
              </w:rPr>
              <w:t>Ticket to Work Frequently Asked Questions (FAQ)</w:t>
            </w:r>
            <w:r w:rsidR="00FD434C">
              <w:rPr>
                <w:webHidden/>
              </w:rPr>
              <w:tab/>
            </w:r>
            <w:r w:rsidR="00FD434C">
              <w:rPr>
                <w:webHidden/>
              </w:rPr>
              <w:fldChar w:fldCharType="begin"/>
            </w:r>
            <w:r w:rsidR="00FD434C">
              <w:rPr>
                <w:webHidden/>
              </w:rPr>
              <w:instrText xml:space="preserve"> PAGEREF _Toc95237205 \h </w:instrText>
            </w:r>
            <w:r w:rsidR="00FD434C">
              <w:rPr>
                <w:webHidden/>
              </w:rPr>
            </w:r>
            <w:r w:rsidR="00FD434C">
              <w:rPr>
                <w:webHidden/>
              </w:rPr>
              <w:fldChar w:fldCharType="separate"/>
            </w:r>
            <w:r w:rsidR="00FD434C">
              <w:rPr>
                <w:webHidden/>
              </w:rPr>
              <w:t>5</w:t>
            </w:r>
            <w:r w:rsidR="00FD434C">
              <w:rPr>
                <w:webHidden/>
              </w:rPr>
              <w:fldChar w:fldCharType="end"/>
            </w:r>
          </w:hyperlink>
        </w:p>
        <w:p w14:paraId="702917FA" w14:textId="2FA9EF65"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F36245">
      <w:pPr>
        <w:pStyle w:val="Heading1"/>
        <w:numPr>
          <w:ilvl w:val="0"/>
          <w:numId w:val="0"/>
        </w:numPr>
      </w:pPr>
      <w:bookmarkStart w:id="1" w:name="_Toc95237199"/>
      <w:r>
        <w:lastRenderedPageBreak/>
        <w:t>Section I.</w:t>
      </w:r>
      <w:r>
        <w:tab/>
        <w:t>Definitions</w:t>
      </w:r>
      <w:bookmarkEnd w:id="1"/>
    </w:p>
    <w:p w14:paraId="56D304C1" w14:textId="58D1DFFC" w:rsidR="00D2476F" w:rsidRDefault="001A20BB" w:rsidP="00D2476F">
      <w:pPr>
        <w:pStyle w:val="BodyText"/>
      </w:pPr>
      <w:bookmarkStart w:id="2" w:name="_Hlk56162079"/>
      <w:bookmarkStart w:id="3" w:name="_Hlk56161721"/>
      <w:r w:rsidRPr="00AF2144">
        <w:rPr>
          <w:rStyle w:val="Emphasis"/>
        </w:rPr>
        <w:t>"</w:t>
      </w:r>
      <w:bookmarkEnd w:id="2"/>
      <w:r w:rsidR="00D2476F">
        <w:rPr>
          <w:rStyle w:val="Emphasis"/>
        </w:rPr>
        <w:t>Ticket to Work</w:t>
      </w:r>
      <w:r w:rsidRPr="00AF2144">
        <w:rPr>
          <w:rStyle w:val="Emphasis"/>
        </w:rPr>
        <w:t>"</w:t>
      </w:r>
      <w:r w:rsidRPr="00A67EE8">
        <w:t xml:space="preserve"> </w:t>
      </w:r>
      <w:bookmarkEnd w:id="3"/>
      <w:r w:rsidR="00D2476F">
        <w:rPr>
          <w:rStyle w:val="Emphasis"/>
          <w:rFonts w:ascii="Franklin Gothic Book" w:hAnsi="Franklin Gothic Book"/>
          <w:color w:val="auto"/>
        </w:rPr>
        <w:t>is a document provided by the SSA to Social Security Disability Insurance (SSDI) and Supplemental Security Income (SSI) beneficiaries that they can use to access employment services, vocational rehabilitation services and other support services to enable them to go to work.  Services can be obtained from state DBVI and VR agencies and other qualified Employment Networks</w:t>
      </w:r>
      <w:r w:rsidR="00D2476F">
        <w:t>.</w:t>
      </w:r>
    </w:p>
    <w:p w14:paraId="495D96D0" w14:textId="77777777" w:rsidR="000E2E5E" w:rsidRDefault="000E2E5E" w:rsidP="000E2E5E">
      <w:pPr>
        <w:pStyle w:val="BodyText"/>
        <w:spacing w:before="0"/>
        <w:rPr>
          <w:rStyle w:val="Emphasis"/>
        </w:rPr>
      </w:pPr>
    </w:p>
    <w:p w14:paraId="705B2B38" w14:textId="7AC1BD62" w:rsidR="003D604F" w:rsidRDefault="00D2476F" w:rsidP="000E2E5E">
      <w:pPr>
        <w:pStyle w:val="BodyText"/>
        <w:spacing w:before="0"/>
        <w:rPr>
          <w:rStyle w:val="Emphasis"/>
          <w:rFonts w:ascii="Franklin Gothic Book" w:hAnsi="Franklin Gothic Book"/>
          <w:color w:val="auto"/>
        </w:rPr>
      </w:pPr>
      <w:r>
        <w:rPr>
          <w:rStyle w:val="Emphasis"/>
        </w:rPr>
        <w:t>“Maximus”</w:t>
      </w:r>
      <w:r w:rsidR="003D604F">
        <w:rPr>
          <w:rStyle w:val="Emphasis"/>
        </w:rPr>
        <w:t xml:space="preserve"> </w:t>
      </w:r>
      <w:r>
        <w:rPr>
          <w:rStyle w:val="Emphasis"/>
          <w:rFonts w:ascii="Franklin Gothic Book" w:hAnsi="Franklin Gothic Book"/>
          <w:color w:val="auto"/>
        </w:rPr>
        <w:t>is the organization Social Security has hired to assist in the administration of the Ticket Program.</w:t>
      </w:r>
    </w:p>
    <w:p w14:paraId="3B8DCAB3" w14:textId="49A605A6" w:rsidR="00D2476F" w:rsidRDefault="00D2476F" w:rsidP="000E2E5E">
      <w:pPr>
        <w:pStyle w:val="BodyText"/>
        <w:spacing w:before="0"/>
        <w:rPr>
          <w:rStyle w:val="Emphasis"/>
          <w:rFonts w:ascii="Franklin Gothic Book" w:hAnsi="Franklin Gothic Book"/>
          <w:color w:val="auto"/>
        </w:rPr>
      </w:pPr>
    </w:p>
    <w:p w14:paraId="01339C3B" w14:textId="40856509" w:rsidR="00D2476F" w:rsidRDefault="00D2476F" w:rsidP="000E2E5E">
      <w:pPr>
        <w:pStyle w:val="BodyText"/>
        <w:spacing w:before="0"/>
        <w:rPr>
          <w:rStyle w:val="Emphasis"/>
          <w:rFonts w:ascii="Franklin Gothic Book" w:hAnsi="Franklin Gothic Book"/>
          <w:color w:val="auto"/>
        </w:rPr>
      </w:pPr>
      <w:r w:rsidRPr="00AF2144">
        <w:rPr>
          <w:rStyle w:val="Emphasis"/>
        </w:rPr>
        <w:t>"</w:t>
      </w:r>
      <w:r>
        <w:rPr>
          <w:rStyle w:val="Emphasis"/>
        </w:rPr>
        <w:t>Continuing Di</w:t>
      </w:r>
      <w:bookmarkStart w:id="4" w:name="_Hlk59704424"/>
      <w:r>
        <w:rPr>
          <w:rStyle w:val="Emphasis"/>
        </w:rPr>
        <w:t>sa</w:t>
      </w:r>
      <w:bookmarkEnd w:id="4"/>
      <w:r>
        <w:rPr>
          <w:rStyle w:val="Emphasis"/>
        </w:rPr>
        <w:t>bility Review (CDR)”</w:t>
      </w:r>
      <w:r>
        <w:rPr>
          <w:rStyle w:val="Emphasis"/>
          <w:rFonts w:ascii="Franklin Gothic Book" w:hAnsi="Franklin Gothic Book"/>
          <w:color w:val="auto"/>
        </w:rPr>
        <w:t xml:space="preserve"> – SSA reviews</w:t>
      </w:r>
      <w:r w:rsidR="001E5277">
        <w:rPr>
          <w:rStyle w:val="Emphasis"/>
          <w:rFonts w:ascii="Franklin Gothic Book" w:hAnsi="Franklin Gothic Book"/>
          <w:color w:val="auto"/>
        </w:rPr>
        <w:t xml:space="preserve"> disability cases periodically to see if the </w:t>
      </w:r>
      <w:r w:rsidR="00ED15B7">
        <w:rPr>
          <w:rStyle w:val="Emphasis"/>
          <w:rFonts w:ascii="Franklin Gothic Book" w:hAnsi="Franklin Gothic Book"/>
          <w:color w:val="auto"/>
        </w:rPr>
        <w:t xml:space="preserve">individual </w:t>
      </w:r>
      <w:r w:rsidR="001E5277">
        <w:rPr>
          <w:rStyle w:val="Emphasis"/>
          <w:rFonts w:ascii="Franklin Gothic Book" w:hAnsi="Franklin Gothic Book"/>
          <w:color w:val="auto"/>
        </w:rPr>
        <w:t>with a disability still meets disability criter</w:t>
      </w:r>
      <w:r w:rsidR="00C51168">
        <w:rPr>
          <w:rStyle w:val="Emphasis"/>
          <w:rFonts w:ascii="Franklin Gothic Book" w:hAnsi="Franklin Gothic Book"/>
          <w:color w:val="auto"/>
        </w:rPr>
        <w:t>ia.  SSA performs two types of reviews, a medical continuing disability review and a work continuing disability review.  Under a work review, SSA looks a</w:t>
      </w:r>
      <w:r w:rsidR="000605AB">
        <w:rPr>
          <w:rStyle w:val="Emphasis"/>
          <w:rFonts w:ascii="Franklin Gothic Book" w:hAnsi="Franklin Gothic Book"/>
          <w:color w:val="auto"/>
        </w:rPr>
        <w:t>t</w:t>
      </w:r>
      <w:r w:rsidR="00C51168">
        <w:rPr>
          <w:rStyle w:val="Emphasis"/>
          <w:rFonts w:ascii="Franklin Gothic Book" w:hAnsi="Franklin Gothic Book"/>
          <w:color w:val="auto"/>
        </w:rPr>
        <w:t xml:space="preserve"> earnings to determine if an individual is eligible for monthly benefits.  A medical review determines if an individual is meeting the medical requirements to collect disability.  If the </w:t>
      </w:r>
      <w:r w:rsidR="00ED15B7">
        <w:rPr>
          <w:rStyle w:val="Emphasis"/>
          <w:rFonts w:ascii="Franklin Gothic Book" w:hAnsi="Franklin Gothic Book"/>
          <w:color w:val="auto"/>
        </w:rPr>
        <w:t>individual</w:t>
      </w:r>
      <w:r w:rsidR="00C51168">
        <w:rPr>
          <w:rStyle w:val="Emphasis"/>
          <w:rFonts w:ascii="Franklin Gothic Book" w:hAnsi="Franklin Gothic Book"/>
          <w:color w:val="auto"/>
        </w:rPr>
        <w:t xml:space="preserve"> does not meet the medical requirements, SSA may stop the disability benefits.</w:t>
      </w:r>
    </w:p>
    <w:p w14:paraId="010FCFFD" w14:textId="56AABA95" w:rsidR="00C51168" w:rsidRDefault="00C51168" w:rsidP="000E2E5E">
      <w:pPr>
        <w:pStyle w:val="BodyText"/>
        <w:spacing w:before="0"/>
        <w:rPr>
          <w:rStyle w:val="Emphasis"/>
          <w:rFonts w:ascii="Franklin Gothic Book" w:hAnsi="Franklin Gothic Book"/>
          <w:color w:val="auto"/>
        </w:rPr>
      </w:pPr>
    </w:p>
    <w:p w14:paraId="6EC4BD45" w14:textId="7C6552BF" w:rsidR="00C51168" w:rsidRPr="00C51168" w:rsidRDefault="00C51168" w:rsidP="000E2E5E">
      <w:pPr>
        <w:pStyle w:val="BodyText"/>
        <w:spacing w:before="0"/>
        <w:rPr>
          <w:rStyle w:val="Emphasis"/>
          <w:rFonts w:ascii="Franklin Gothic Book" w:hAnsi="Franklin Gothic Book"/>
          <w:color w:val="auto"/>
        </w:rPr>
      </w:pPr>
      <w:r>
        <w:rPr>
          <w:rStyle w:val="Emphasis"/>
        </w:rPr>
        <w:t>“Employment Network”</w:t>
      </w:r>
      <w:r>
        <w:rPr>
          <w:rStyle w:val="Emphasis"/>
          <w:color w:val="auto"/>
        </w:rPr>
        <w:t xml:space="preserve"> </w:t>
      </w:r>
      <w:r>
        <w:rPr>
          <w:rStyle w:val="Emphasis"/>
          <w:rFonts w:ascii="Franklin Gothic Book" w:hAnsi="Franklin Gothic Book"/>
          <w:color w:val="auto"/>
        </w:rPr>
        <w:t>– An Employment Network is an organization or individual who provides employment services under the Ticket to Work program.</w:t>
      </w:r>
    </w:p>
    <w:p w14:paraId="39B180A0" w14:textId="5DF64802" w:rsidR="00C51168" w:rsidRDefault="00882762" w:rsidP="00F36245">
      <w:pPr>
        <w:pStyle w:val="Heading1"/>
        <w:numPr>
          <w:ilvl w:val="0"/>
          <w:numId w:val="0"/>
        </w:numPr>
      </w:pPr>
      <w:bookmarkStart w:id="5" w:name="_Hlk59706523"/>
      <w:bookmarkStart w:id="6" w:name="_Toc95237200"/>
      <w:r>
        <w:t>Section II.</w:t>
      </w:r>
      <w:r>
        <w:tab/>
      </w:r>
      <w:r w:rsidR="00C51168">
        <w:t>Overview</w:t>
      </w:r>
      <w:bookmarkEnd w:id="5"/>
      <w:bookmarkEnd w:id="6"/>
    </w:p>
    <w:p w14:paraId="4C356532" w14:textId="3777FB4B" w:rsidR="00C51168" w:rsidRDefault="00C51168" w:rsidP="00C51168"/>
    <w:p w14:paraId="10F034B4" w14:textId="0FB44B69" w:rsidR="00C51168" w:rsidRDefault="00C51168" w:rsidP="00C51168">
      <w:r>
        <w:t xml:space="preserve">The “Ticket to Work Program” was created as part of the Ticket to Work and Work Incentives Improvement Act of 1999.  Its purpose is to expand the number of service providers available to </w:t>
      </w:r>
      <w:r w:rsidR="00D65EA0">
        <w:t>help Social Security Disability Benefit (</w:t>
      </w:r>
      <w:r>
        <w:t>SSDI</w:t>
      </w:r>
      <w:r w:rsidR="00D65EA0">
        <w:t>)</w:t>
      </w:r>
      <w:r>
        <w:t xml:space="preserve"> and </w:t>
      </w:r>
      <w:r w:rsidR="00D65EA0">
        <w:t>Supplemental Security Income (</w:t>
      </w:r>
      <w:r>
        <w:t>SSI</w:t>
      </w:r>
      <w:r w:rsidR="00D65EA0">
        <w:t>)</w:t>
      </w:r>
      <w:r>
        <w:t xml:space="preserve"> beneficiaries obtain services necessary to find, enter and retain employment.  The goal of the program is to reduce or eliminate their dependence on </w:t>
      </w:r>
      <w:r w:rsidR="00D65EA0">
        <w:t>SSDI</w:t>
      </w:r>
      <w:r>
        <w:t xml:space="preserve"> and SSI cash benefits.</w:t>
      </w:r>
    </w:p>
    <w:p w14:paraId="07203EC2" w14:textId="7B1445E1" w:rsidR="00C51168" w:rsidRDefault="00C51168" w:rsidP="00C51168"/>
    <w:p w14:paraId="53C9CBC9" w14:textId="53BBC761" w:rsidR="00C51168" w:rsidRDefault="00C51168" w:rsidP="00C51168">
      <w:r>
        <w:t>Under the Ticket to Work Program, the Social Security Administration</w:t>
      </w:r>
      <w:r w:rsidR="00A42F29">
        <w:t xml:space="preserve"> (SSA)</w:t>
      </w:r>
      <w:r>
        <w:t xml:space="preserve"> pays Employment Networks (employment service providers) outcome and milestone payments if they assist SS</w:t>
      </w:r>
      <w:r w:rsidR="00F04192">
        <w:t>DI/SSI</w:t>
      </w:r>
      <w:r>
        <w:t xml:space="preserve"> beneficiaries </w:t>
      </w:r>
      <w:r w:rsidR="000136B2">
        <w:t xml:space="preserve">to </w:t>
      </w:r>
      <w:r>
        <w:t>become employed above defined income thresholds.  DBVI operates as an Employment Network under the Ticket to Work program.</w:t>
      </w:r>
    </w:p>
    <w:p w14:paraId="51FFDBD4" w14:textId="5FA1424F" w:rsidR="00C51168" w:rsidRDefault="00C51168" w:rsidP="00C51168"/>
    <w:p w14:paraId="4879B8ED" w14:textId="6D372F50" w:rsidR="00C51168" w:rsidRDefault="00C23E27" w:rsidP="00C51168">
      <w:r>
        <w:t>Historically, the Ticket to Work Program is an important source of revenue for DBVI and these funds have helped fund services for DBVI consumers.  This is because DBVI has been effective in helping beneficiaries return to work and increase their earnings.  DBVI receives payment when a beneficiary achieves the following milestones:</w:t>
      </w:r>
    </w:p>
    <w:p w14:paraId="791F0F10" w14:textId="3791D485" w:rsidR="00C23E27" w:rsidRDefault="00C23E27" w:rsidP="00C51168"/>
    <w:p w14:paraId="7092C7F5" w14:textId="4C8F161E" w:rsidR="00C23E27" w:rsidRDefault="00C23E27" w:rsidP="0012092A">
      <w:pPr>
        <w:pStyle w:val="ListParagraph"/>
        <w:numPr>
          <w:ilvl w:val="0"/>
          <w:numId w:val="11"/>
        </w:numPr>
      </w:pPr>
      <w:r w:rsidRPr="0094318A">
        <w:rPr>
          <w:b/>
          <w:bCs/>
        </w:rPr>
        <w:t>Phase 1 Milestones</w:t>
      </w:r>
      <w:r>
        <w:t>:  Earning at a Trial Work Level for one, three, six and nine months.</w:t>
      </w:r>
    </w:p>
    <w:p w14:paraId="28505DA2" w14:textId="2E24D66F" w:rsidR="00C23E27" w:rsidRDefault="00C23E27" w:rsidP="00C51168"/>
    <w:p w14:paraId="56433E35" w14:textId="679C5C04" w:rsidR="00C23E27" w:rsidRDefault="00C23E27" w:rsidP="0012092A">
      <w:pPr>
        <w:pStyle w:val="ListParagraph"/>
        <w:numPr>
          <w:ilvl w:val="0"/>
          <w:numId w:val="11"/>
        </w:numPr>
      </w:pPr>
      <w:r w:rsidRPr="0094318A">
        <w:rPr>
          <w:b/>
          <w:bCs/>
        </w:rPr>
        <w:t>Phase II Milestones</w:t>
      </w:r>
      <w:r>
        <w:t>:  Each month of earnings at a Substantial Gainful Activity (SGA) level for 11 months for SSDI beneficiaries and for 18 months for SSI beneficiaries.</w:t>
      </w:r>
    </w:p>
    <w:p w14:paraId="416F548D" w14:textId="670B7013" w:rsidR="00C23E27" w:rsidRDefault="00C23E27" w:rsidP="00C51168"/>
    <w:p w14:paraId="3CD7745A" w14:textId="3F7B7E00" w:rsidR="00C23E27" w:rsidRPr="00C51168" w:rsidRDefault="00C23E27" w:rsidP="0012092A">
      <w:pPr>
        <w:pStyle w:val="ListParagraph"/>
        <w:numPr>
          <w:ilvl w:val="0"/>
          <w:numId w:val="11"/>
        </w:numPr>
      </w:pPr>
      <w:r w:rsidRPr="0094318A">
        <w:rPr>
          <w:b/>
          <w:bCs/>
        </w:rPr>
        <w:t>Outcomes:</w:t>
      </w:r>
      <w:r>
        <w:t xml:space="preserve">  Each month the beneficiary receives a zero benefit as a result of work activity for 36 months for SSDI beneficiaries and for 60 months for SSI beneficiaries.</w:t>
      </w:r>
    </w:p>
    <w:p w14:paraId="557B54EA" w14:textId="35F9555C" w:rsidR="009F5626" w:rsidRDefault="0089404B" w:rsidP="00F04192">
      <w:pPr>
        <w:pStyle w:val="Heading1"/>
        <w:numPr>
          <w:ilvl w:val="0"/>
          <w:numId w:val="0"/>
        </w:numPr>
      </w:pPr>
      <w:bookmarkStart w:id="7" w:name="_Hlk59706574"/>
      <w:bookmarkStart w:id="8" w:name="_Toc95237201"/>
      <w:r>
        <w:t>Section III.  General</w:t>
      </w:r>
      <w:r w:rsidR="00882762">
        <w:t xml:space="preserve"> P</w:t>
      </w:r>
      <w:bookmarkEnd w:id="7"/>
      <w:r w:rsidR="00F04192">
        <w:t>rocedures</w:t>
      </w:r>
      <w:bookmarkEnd w:id="8"/>
    </w:p>
    <w:p w14:paraId="45EBAE9C" w14:textId="77777777" w:rsidR="00F04192" w:rsidRPr="00F04192" w:rsidRDefault="00F04192" w:rsidP="00F04192"/>
    <w:p w14:paraId="44647411" w14:textId="3E4951B2" w:rsidR="009F5626" w:rsidRDefault="009F5626" w:rsidP="009F5626">
      <w:r>
        <w:t xml:space="preserve">The following are guidelines for DBVI counselors for the Ticket to Work Program.  It is important to note that the Ticket Program is an SSA program that is administered by SSA and their contractors.  The payment mechanisms built into the program should not influence the DBVI rehabilitation counseling process.  The DBVI </w:t>
      </w:r>
      <w:r w:rsidR="00B86519">
        <w:t>individual’s</w:t>
      </w:r>
      <w:r>
        <w:t xml:space="preserve"> wishes, goals, </w:t>
      </w:r>
      <w:r w:rsidR="000605AB">
        <w:t>skills,</w:t>
      </w:r>
      <w:r>
        <w:t xml:space="preserve"> and aptitudes should drive </w:t>
      </w:r>
      <w:r w:rsidR="00B86519">
        <w:t>their</w:t>
      </w:r>
      <w:r>
        <w:t xml:space="preserve"> choices regarding their employment goal and how much they want to work and earn.</w:t>
      </w:r>
    </w:p>
    <w:p w14:paraId="7ABF3EA7" w14:textId="6E4FC5F6" w:rsidR="009F5626" w:rsidRDefault="00B86519" w:rsidP="0012092A">
      <w:pPr>
        <w:pStyle w:val="ListParagraph"/>
        <w:numPr>
          <w:ilvl w:val="0"/>
          <w:numId w:val="10"/>
        </w:numPr>
        <w:rPr>
          <w:b/>
          <w:bCs/>
        </w:rPr>
      </w:pPr>
      <w:r>
        <w:rPr>
          <w:b/>
          <w:bCs/>
        </w:rPr>
        <w:t xml:space="preserve">When is the </w:t>
      </w:r>
      <w:r w:rsidR="009F5626" w:rsidRPr="005D7CDA">
        <w:rPr>
          <w:b/>
          <w:bCs/>
        </w:rPr>
        <w:t>Ticket Assign</w:t>
      </w:r>
      <w:r>
        <w:rPr>
          <w:b/>
          <w:bCs/>
        </w:rPr>
        <w:t>ed?</w:t>
      </w:r>
    </w:p>
    <w:p w14:paraId="0B7B7A55" w14:textId="77777777" w:rsidR="005926DC" w:rsidRPr="005D7CDA" w:rsidRDefault="005926DC" w:rsidP="005926DC">
      <w:pPr>
        <w:pStyle w:val="ListParagraph"/>
        <w:rPr>
          <w:b/>
          <w:bCs/>
        </w:rPr>
      </w:pPr>
    </w:p>
    <w:p w14:paraId="2B498F8E" w14:textId="152835AC" w:rsidR="009F5626" w:rsidRDefault="009F5626" w:rsidP="004626E9">
      <w:pPr>
        <w:pStyle w:val="ListParagraph"/>
        <w:numPr>
          <w:ilvl w:val="0"/>
          <w:numId w:val="12"/>
        </w:numPr>
        <w:ind w:left="1080"/>
      </w:pPr>
      <w:r>
        <w:t>When an individual who receives SS</w:t>
      </w:r>
      <w:r w:rsidR="00357FE2">
        <w:t>D</w:t>
      </w:r>
      <w:r>
        <w:t>I or SSI sig</w:t>
      </w:r>
      <w:r w:rsidR="000136B2">
        <w:t>n</w:t>
      </w:r>
      <w:r>
        <w:t>s an I</w:t>
      </w:r>
      <w:r w:rsidR="008D33EF">
        <w:t>ndividualized Plan for Employment (IPE)</w:t>
      </w:r>
      <w:r>
        <w:t xml:space="preserve">, SSA considers that their Ticket to Work is “In Use”.  </w:t>
      </w:r>
      <w:r w:rsidR="000605AB">
        <w:t>By</w:t>
      </w:r>
      <w:r>
        <w:t xml:space="preserve"> choosing to seek DBVI services and signing an IPE, they have also chosen to activate their Ticket to Work.</w:t>
      </w:r>
    </w:p>
    <w:p w14:paraId="216338AE" w14:textId="77777777" w:rsidR="005D7CDA" w:rsidRDefault="005D7CDA" w:rsidP="004626E9">
      <w:pPr>
        <w:pStyle w:val="ListParagraph"/>
        <w:ind w:left="1080" w:hanging="360"/>
      </w:pPr>
    </w:p>
    <w:p w14:paraId="0A5E94E7" w14:textId="5242BD54" w:rsidR="009F5626" w:rsidRDefault="009F5626" w:rsidP="004626E9">
      <w:pPr>
        <w:pStyle w:val="ListParagraph"/>
        <w:numPr>
          <w:ilvl w:val="0"/>
          <w:numId w:val="12"/>
        </w:numPr>
        <w:ind w:left="1080"/>
      </w:pPr>
      <w:r w:rsidRPr="005D7CDA">
        <w:rPr>
          <w:i/>
          <w:iCs/>
        </w:rPr>
        <w:t>You do not need to take any action</w:t>
      </w:r>
      <w:r>
        <w:t>.  DBVI is required to inform SSA when</w:t>
      </w:r>
      <w:r w:rsidR="00617259">
        <w:t xml:space="preserve"> an SS</w:t>
      </w:r>
      <w:r w:rsidR="008D33EF">
        <w:t>D</w:t>
      </w:r>
      <w:r w:rsidR="00617259">
        <w:t xml:space="preserve">I or SSI beneficiary signs and </w:t>
      </w:r>
      <w:r w:rsidR="008D33EF">
        <w:t xml:space="preserve">Individualized Plan for </w:t>
      </w:r>
      <w:r w:rsidR="0067279F">
        <w:t>Employment</w:t>
      </w:r>
      <w:r w:rsidR="00617259">
        <w:t>.</w:t>
      </w:r>
      <w:r w:rsidR="0093258B">
        <w:t xml:space="preserve">  This process is completed electronically through Central Office.  </w:t>
      </w:r>
      <w:r w:rsidR="0093258B" w:rsidRPr="005D7CDA">
        <w:rPr>
          <w:b/>
          <w:bCs/>
        </w:rPr>
        <w:t xml:space="preserve">It is very important that counselors </w:t>
      </w:r>
      <w:r w:rsidR="00A03DE2" w:rsidRPr="005D7CDA">
        <w:rPr>
          <w:b/>
          <w:bCs/>
        </w:rPr>
        <w:t xml:space="preserve">obtain and </w:t>
      </w:r>
      <w:r w:rsidR="0093258B" w:rsidRPr="005D7CDA">
        <w:rPr>
          <w:b/>
          <w:bCs/>
        </w:rPr>
        <w:t xml:space="preserve">enter the correct Social Security Number into the DBVI database, or the </w:t>
      </w:r>
      <w:r w:rsidR="0067279F">
        <w:rPr>
          <w:b/>
          <w:bCs/>
        </w:rPr>
        <w:t>individual</w:t>
      </w:r>
      <w:r w:rsidR="0093258B" w:rsidRPr="005D7CDA">
        <w:rPr>
          <w:b/>
          <w:bCs/>
        </w:rPr>
        <w:t>’s Ticket will not be assigned to DBVI.</w:t>
      </w:r>
      <w:r w:rsidR="0093258B">
        <w:t xml:space="preserve">  If you do not get the Social Security Number at application, you must obtain and enter prior to the IPE date.</w:t>
      </w:r>
    </w:p>
    <w:p w14:paraId="5D7CC4D2" w14:textId="77777777" w:rsidR="005D7CDA" w:rsidRDefault="005D7CDA" w:rsidP="004626E9">
      <w:pPr>
        <w:pStyle w:val="ListParagraph"/>
        <w:ind w:left="1080" w:hanging="360"/>
      </w:pPr>
    </w:p>
    <w:p w14:paraId="250B98B0" w14:textId="45EDA94D" w:rsidR="0093258B" w:rsidRDefault="0093258B" w:rsidP="004626E9">
      <w:pPr>
        <w:pStyle w:val="ListParagraph"/>
        <w:numPr>
          <w:ilvl w:val="0"/>
          <w:numId w:val="12"/>
        </w:numPr>
        <w:ind w:left="1080"/>
      </w:pPr>
      <w:r>
        <w:t xml:space="preserve">SSA’s contractor, MAXIMUS will </w:t>
      </w:r>
      <w:r w:rsidR="00B62234">
        <w:t>s</w:t>
      </w:r>
      <w:r>
        <w:t xml:space="preserve">end a letter to the DBVI </w:t>
      </w:r>
      <w:r w:rsidR="0067279F">
        <w:t>individual</w:t>
      </w:r>
      <w:r>
        <w:t xml:space="preserve"> informing them that their Ticket has been assigned to DB</w:t>
      </w:r>
      <w:r w:rsidR="006C3EC4">
        <w:t>VI</w:t>
      </w:r>
      <w:r>
        <w:t>.</w:t>
      </w:r>
    </w:p>
    <w:p w14:paraId="3BE40C18" w14:textId="77777777" w:rsidR="00A03DE2" w:rsidRDefault="00A03DE2" w:rsidP="00A03DE2">
      <w:pPr>
        <w:pStyle w:val="ListParagraph"/>
        <w:ind w:left="1440"/>
      </w:pPr>
    </w:p>
    <w:p w14:paraId="3134847B" w14:textId="67712C33" w:rsidR="00A03DE2" w:rsidRDefault="00A03DE2" w:rsidP="0012092A">
      <w:pPr>
        <w:pStyle w:val="ListParagraph"/>
        <w:numPr>
          <w:ilvl w:val="0"/>
          <w:numId w:val="10"/>
        </w:numPr>
        <w:rPr>
          <w:b/>
          <w:bCs/>
        </w:rPr>
      </w:pPr>
      <w:r w:rsidRPr="005D7CDA">
        <w:rPr>
          <w:b/>
          <w:bCs/>
        </w:rPr>
        <w:t xml:space="preserve">How should I explain the Ticket to Work to </w:t>
      </w:r>
      <w:r w:rsidR="00874A03">
        <w:rPr>
          <w:b/>
          <w:bCs/>
        </w:rPr>
        <w:t>an individual</w:t>
      </w:r>
      <w:r w:rsidRPr="005D7CDA">
        <w:rPr>
          <w:b/>
          <w:bCs/>
        </w:rPr>
        <w:t>?</w:t>
      </w:r>
    </w:p>
    <w:p w14:paraId="6AF78602" w14:textId="77777777" w:rsidR="005926DC" w:rsidRPr="005D7CDA" w:rsidRDefault="005926DC" w:rsidP="005926DC">
      <w:pPr>
        <w:pStyle w:val="ListParagraph"/>
        <w:rPr>
          <w:b/>
          <w:bCs/>
        </w:rPr>
      </w:pPr>
    </w:p>
    <w:p w14:paraId="265F0B22" w14:textId="59BEB90B" w:rsidR="00A03DE2" w:rsidRDefault="00A03DE2" w:rsidP="0012092A">
      <w:pPr>
        <w:pStyle w:val="ListParagraph"/>
        <w:numPr>
          <w:ilvl w:val="0"/>
          <w:numId w:val="13"/>
        </w:numPr>
      </w:pPr>
      <w:r>
        <w:t xml:space="preserve">Use the Ticket to Work FAQ </w:t>
      </w:r>
      <w:r w:rsidR="0073512C">
        <w:t xml:space="preserve">from </w:t>
      </w:r>
      <w:r>
        <w:t xml:space="preserve">Section </w:t>
      </w:r>
      <w:r w:rsidR="0073512C">
        <w:t>VII.</w:t>
      </w:r>
      <w:r>
        <w:t xml:space="preserve"> to explain the program.  Explain that it will not affect DBVI services in any way.</w:t>
      </w:r>
    </w:p>
    <w:p w14:paraId="0080AE91" w14:textId="77777777" w:rsidR="005926DC" w:rsidRDefault="005926DC" w:rsidP="005926DC">
      <w:pPr>
        <w:pStyle w:val="ListParagraph"/>
        <w:ind w:left="1080"/>
      </w:pPr>
    </w:p>
    <w:p w14:paraId="0C45793D" w14:textId="2B3D689E" w:rsidR="00A03DE2" w:rsidRDefault="00A03DE2" w:rsidP="0012092A">
      <w:pPr>
        <w:pStyle w:val="ListParagraph"/>
        <w:numPr>
          <w:ilvl w:val="0"/>
          <w:numId w:val="13"/>
        </w:numPr>
      </w:pPr>
      <w:r>
        <w:t xml:space="preserve">Explain to the </w:t>
      </w:r>
      <w:r w:rsidR="00910842">
        <w:t>individual</w:t>
      </w:r>
      <w:r>
        <w:t xml:space="preserve"> that DBVI can receive payment if they go to work above the thresholds for payment.  However, how much they work is entirely their choice.  If DBVI does receive payment under the Ticket to Work, any money received goes toward services for other </w:t>
      </w:r>
      <w:r w:rsidR="00910842">
        <w:t>individuals</w:t>
      </w:r>
      <w:r>
        <w:t>.</w:t>
      </w:r>
    </w:p>
    <w:p w14:paraId="40706686" w14:textId="77777777" w:rsidR="005926DC" w:rsidRDefault="005926DC" w:rsidP="005926DC">
      <w:pPr>
        <w:pStyle w:val="ListParagraph"/>
      </w:pPr>
    </w:p>
    <w:p w14:paraId="6E04821A" w14:textId="50E16D75" w:rsidR="00A03DE2" w:rsidRDefault="00F3485C" w:rsidP="0012092A">
      <w:pPr>
        <w:pStyle w:val="ListParagraph"/>
        <w:numPr>
          <w:ilvl w:val="0"/>
          <w:numId w:val="13"/>
        </w:numPr>
      </w:pPr>
      <w:r>
        <w:t xml:space="preserve">Explain to the </w:t>
      </w:r>
      <w:r w:rsidR="00C33633">
        <w:t>individual</w:t>
      </w:r>
      <w:r>
        <w:t xml:space="preserve">, that by assigning their Ticket through participation in the DBVI program, they will receive suspension of SSA Medical reviews for a minimum of one year.  This only applies if this is the first time the </w:t>
      </w:r>
      <w:r w:rsidR="00C33633">
        <w:t>individual</w:t>
      </w:r>
      <w:r>
        <w:t xml:space="preserve"> has assigned their Ticket.</w:t>
      </w:r>
    </w:p>
    <w:p w14:paraId="7B181F6D" w14:textId="0427DF47" w:rsidR="00F3485C" w:rsidRDefault="00F3485C" w:rsidP="0012092A">
      <w:pPr>
        <w:pStyle w:val="ListParagraph"/>
        <w:numPr>
          <w:ilvl w:val="0"/>
          <w:numId w:val="13"/>
        </w:numPr>
      </w:pPr>
      <w:r>
        <w:lastRenderedPageBreak/>
        <w:t xml:space="preserve">If appropriate, encourage the </w:t>
      </w:r>
      <w:r w:rsidR="00C33633">
        <w:t>individual</w:t>
      </w:r>
      <w:r>
        <w:t xml:space="preserve"> to consult with a benefits counselor regarding the potential impact of the employment plan on </w:t>
      </w:r>
      <w:r w:rsidR="00C33633">
        <w:t>their</w:t>
      </w:r>
      <w:r>
        <w:t xml:space="preserve"> benefits and healthcare coverage.</w:t>
      </w:r>
    </w:p>
    <w:p w14:paraId="7F56E3AB" w14:textId="77777777" w:rsidR="00F3485C" w:rsidRDefault="00F3485C" w:rsidP="00F3485C">
      <w:pPr>
        <w:pStyle w:val="ListParagraph"/>
        <w:ind w:left="1440"/>
      </w:pPr>
    </w:p>
    <w:p w14:paraId="3F34CF91" w14:textId="70FA5E55" w:rsidR="00F3485C" w:rsidRDefault="00F3485C" w:rsidP="0012092A">
      <w:pPr>
        <w:pStyle w:val="ListParagraph"/>
        <w:numPr>
          <w:ilvl w:val="0"/>
          <w:numId w:val="10"/>
        </w:numPr>
        <w:rPr>
          <w:b/>
          <w:bCs/>
        </w:rPr>
      </w:pPr>
      <w:r w:rsidRPr="005D7CDA">
        <w:rPr>
          <w:b/>
          <w:bCs/>
        </w:rPr>
        <w:t xml:space="preserve">What if the </w:t>
      </w:r>
      <w:r w:rsidR="00B52A0F">
        <w:rPr>
          <w:b/>
          <w:bCs/>
        </w:rPr>
        <w:t>individual</w:t>
      </w:r>
      <w:r w:rsidRPr="005D7CDA">
        <w:rPr>
          <w:b/>
          <w:bCs/>
        </w:rPr>
        <w:t xml:space="preserve"> really does not want to have their Ticket assigned to DBVI?</w:t>
      </w:r>
    </w:p>
    <w:p w14:paraId="07DE2767" w14:textId="77777777" w:rsidR="005926DC" w:rsidRPr="005D7CDA" w:rsidRDefault="005926DC" w:rsidP="005926DC">
      <w:pPr>
        <w:pStyle w:val="ListParagraph"/>
        <w:rPr>
          <w:b/>
          <w:bCs/>
        </w:rPr>
      </w:pPr>
    </w:p>
    <w:p w14:paraId="4F796177" w14:textId="5965BCA7" w:rsidR="00F3485C" w:rsidRDefault="00F3485C" w:rsidP="00B52A0F">
      <w:pPr>
        <w:ind w:left="720"/>
      </w:pPr>
      <w:r>
        <w:t xml:space="preserve">The </w:t>
      </w:r>
      <w:r w:rsidR="00B52A0F">
        <w:t xml:space="preserve">SSA </w:t>
      </w:r>
      <w:r>
        <w:t xml:space="preserve">beneficiary can contact MAXIMUS and request their Ticket to Work be unassigned.  However, as noted in the prior section, when </w:t>
      </w:r>
      <w:r w:rsidR="000605AB">
        <w:t>an</w:t>
      </w:r>
      <w:r>
        <w:t xml:space="preserve"> SS</w:t>
      </w:r>
      <w:r w:rsidR="00B52A0F">
        <w:t>DI/SSI</w:t>
      </w:r>
      <w:r>
        <w:t xml:space="preserve"> beneficiary signs a DBVI IPE, SSA consider that Ticket “In Use”.  In these cases, DBVI can still potentially receive payment under the SSA cost reimbursement program.</w:t>
      </w:r>
    </w:p>
    <w:p w14:paraId="31E17AA0" w14:textId="77777777" w:rsidR="00F3485C" w:rsidRDefault="00F3485C" w:rsidP="00F3485C">
      <w:pPr>
        <w:pStyle w:val="ListParagraph"/>
        <w:ind w:left="1440"/>
      </w:pPr>
    </w:p>
    <w:p w14:paraId="38DF9B9F" w14:textId="59F0FD72" w:rsidR="00F3485C" w:rsidRDefault="00F3485C" w:rsidP="0012092A">
      <w:pPr>
        <w:pStyle w:val="ListParagraph"/>
        <w:numPr>
          <w:ilvl w:val="0"/>
          <w:numId w:val="10"/>
        </w:numPr>
        <w:rPr>
          <w:b/>
          <w:bCs/>
        </w:rPr>
      </w:pPr>
      <w:r w:rsidRPr="005D7CDA">
        <w:rPr>
          <w:b/>
          <w:bCs/>
        </w:rPr>
        <w:t xml:space="preserve">What if the </w:t>
      </w:r>
      <w:r w:rsidR="00B52A0F">
        <w:rPr>
          <w:b/>
          <w:bCs/>
        </w:rPr>
        <w:t>individual</w:t>
      </w:r>
      <w:r w:rsidRPr="005D7CDA">
        <w:rPr>
          <w:b/>
          <w:bCs/>
        </w:rPr>
        <w:t xml:space="preserve"> has assigned the Ticket to another Employment </w:t>
      </w:r>
      <w:r w:rsidR="000605AB" w:rsidRPr="005D7CDA">
        <w:rPr>
          <w:b/>
          <w:bCs/>
        </w:rPr>
        <w:t>Network</w:t>
      </w:r>
      <w:r w:rsidRPr="005D7CDA">
        <w:rPr>
          <w:b/>
          <w:bCs/>
        </w:rPr>
        <w:t>?</w:t>
      </w:r>
    </w:p>
    <w:p w14:paraId="198C1E7E" w14:textId="77777777" w:rsidR="008F0F37" w:rsidRDefault="008F0F37" w:rsidP="008F0F37">
      <w:pPr>
        <w:pStyle w:val="ListParagraph"/>
        <w:ind w:left="1080"/>
      </w:pPr>
    </w:p>
    <w:p w14:paraId="2DF7C05B" w14:textId="73B24849" w:rsidR="00F3485C" w:rsidRDefault="00F3485C" w:rsidP="00B52A0F">
      <w:pPr>
        <w:ind w:left="720"/>
      </w:pPr>
      <w:r>
        <w:t>DBVI will report the Ticket as “In Use” with DBVI to SSA.  The Ticket to Work will be reassigned to DBVI.  DBVI may have to share potential payments with the other Employment Network.</w:t>
      </w:r>
    </w:p>
    <w:p w14:paraId="16EDDBAC" w14:textId="77777777" w:rsidR="00F3485C" w:rsidRDefault="00F3485C" w:rsidP="00F3485C">
      <w:pPr>
        <w:pStyle w:val="ListParagraph"/>
        <w:ind w:left="1440"/>
      </w:pPr>
    </w:p>
    <w:p w14:paraId="70C8ED29" w14:textId="08B839B8" w:rsidR="00F3485C" w:rsidRDefault="00F3485C" w:rsidP="0012092A">
      <w:pPr>
        <w:pStyle w:val="ListParagraph"/>
        <w:numPr>
          <w:ilvl w:val="0"/>
          <w:numId w:val="10"/>
        </w:numPr>
        <w:rPr>
          <w:b/>
          <w:bCs/>
        </w:rPr>
      </w:pPr>
      <w:r w:rsidRPr="005D7CDA">
        <w:rPr>
          <w:b/>
          <w:bCs/>
        </w:rPr>
        <w:t>What if a</w:t>
      </w:r>
      <w:r w:rsidR="00B52A0F">
        <w:rPr>
          <w:b/>
          <w:bCs/>
        </w:rPr>
        <w:t>n individual</w:t>
      </w:r>
      <w:r w:rsidRPr="005D7CDA">
        <w:rPr>
          <w:b/>
          <w:bCs/>
        </w:rPr>
        <w:t xml:space="preserve"> becomes Ticket eligible after they have signed their IPE?</w:t>
      </w:r>
    </w:p>
    <w:p w14:paraId="579DB187" w14:textId="77777777" w:rsidR="005926DC" w:rsidRDefault="005926DC" w:rsidP="005926DC">
      <w:pPr>
        <w:pStyle w:val="ListParagraph"/>
        <w:ind w:left="1080"/>
      </w:pPr>
    </w:p>
    <w:p w14:paraId="4F6331D6" w14:textId="624B2005" w:rsidR="008D4379" w:rsidRDefault="00F3485C" w:rsidP="00B52A0F">
      <w:pPr>
        <w:ind w:left="720"/>
      </w:pPr>
      <w:r>
        <w:t>It is not unusual for a DBVI consumer to start receiving benefits after they have signed an IPE.  DBVI will report the Ticket to Work as “In Use” to SSA.  The effective date will be at the point the individual became eligible for SS</w:t>
      </w:r>
      <w:r w:rsidR="00B52A0F">
        <w:t>DI/SSI</w:t>
      </w:r>
      <w:r>
        <w:t xml:space="preserve"> benefits.</w:t>
      </w:r>
    </w:p>
    <w:p w14:paraId="0CD157BD" w14:textId="25C4A0D8" w:rsidR="0089404B" w:rsidRDefault="0089404B" w:rsidP="0089404B">
      <w:pPr>
        <w:pStyle w:val="Heading1"/>
        <w:numPr>
          <w:ilvl w:val="0"/>
          <w:numId w:val="0"/>
        </w:numPr>
      </w:pPr>
      <w:bookmarkStart w:id="9" w:name="_Hlk60914396"/>
      <w:bookmarkStart w:id="10" w:name="_Hlk60914225"/>
      <w:bookmarkStart w:id="11" w:name="_Toc95237202"/>
      <w:r>
        <w:t>Section IV</w:t>
      </w:r>
      <w:bookmarkEnd w:id="9"/>
      <w:r>
        <w:t xml:space="preserve">.  Continuing Disability </w:t>
      </w:r>
      <w:bookmarkEnd w:id="10"/>
      <w:r>
        <w:t>Review (CDR)</w:t>
      </w:r>
      <w:bookmarkEnd w:id="11"/>
    </w:p>
    <w:p w14:paraId="035B485A" w14:textId="5FF35BEA" w:rsidR="0089404B" w:rsidRDefault="0089404B" w:rsidP="0089404B"/>
    <w:p w14:paraId="7E9BCD7C" w14:textId="564C40C7" w:rsidR="00143B68" w:rsidRDefault="00DB5F4D" w:rsidP="0012092A">
      <w:pPr>
        <w:pStyle w:val="ListParagraph"/>
        <w:numPr>
          <w:ilvl w:val="0"/>
          <w:numId w:val="14"/>
        </w:numPr>
        <w:spacing w:before="0"/>
        <w:ind w:left="0" w:firstLine="0"/>
      </w:pPr>
      <w:r>
        <w:t xml:space="preserve"> </w:t>
      </w:r>
      <w:r w:rsidR="0089404B">
        <w:t xml:space="preserve">SSA reviews disability cases periodically to see if the person with a disability still meets disability eligibility criteria.  SSA performs two types of reviews, a medical continuing disability review and a work continuing disability review.  </w:t>
      </w:r>
    </w:p>
    <w:p w14:paraId="05B11224" w14:textId="77777777" w:rsidR="00143B68" w:rsidRDefault="00143B68" w:rsidP="0089404B"/>
    <w:p w14:paraId="40FA8EBB" w14:textId="0F41A897" w:rsidR="00143B68" w:rsidRDefault="0089404B" w:rsidP="0012092A">
      <w:pPr>
        <w:pStyle w:val="ListParagraph"/>
        <w:numPr>
          <w:ilvl w:val="0"/>
          <w:numId w:val="15"/>
        </w:numPr>
      </w:pPr>
      <w:r>
        <w:t xml:space="preserve">Under a work review SSA looks at earnings to determine if an individual is eligible for monthly benefits.  </w:t>
      </w:r>
    </w:p>
    <w:p w14:paraId="161A1B31" w14:textId="7668C13C" w:rsidR="0089404B" w:rsidRDefault="00143B68" w:rsidP="0012092A">
      <w:pPr>
        <w:pStyle w:val="ListParagraph"/>
        <w:numPr>
          <w:ilvl w:val="0"/>
          <w:numId w:val="15"/>
        </w:numPr>
      </w:pPr>
      <w:r>
        <w:t>Under a</w:t>
      </w:r>
      <w:r w:rsidR="0089404B">
        <w:t xml:space="preserve"> medical review </w:t>
      </w:r>
      <w:r>
        <w:t xml:space="preserve">SSA </w:t>
      </w:r>
      <w:r w:rsidR="0089404B">
        <w:t>determines if an individual is meeting the medical requirements to collect disability</w:t>
      </w:r>
      <w:r w:rsidR="00DB5F4D">
        <w:t xml:space="preserve"> benefits</w:t>
      </w:r>
      <w:r w:rsidR="0089404B">
        <w:t xml:space="preserve">.  If the </w:t>
      </w:r>
      <w:r w:rsidR="00DB5F4D">
        <w:t>individual</w:t>
      </w:r>
      <w:r w:rsidR="0089404B">
        <w:t xml:space="preserve"> does not meet the medical requirements, SSA may stop the disability benefits.</w:t>
      </w:r>
    </w:p>
    <w:p w14:paraId="145C83D0" w14:textId="77777777" w:rsidR="00595F72" w:rsidRDefault="00595F72" w:rsidP="00595F72"/>
    <w:p w14:paraId="19C8A714" w14:textId="590E342C" w:rsidR="0089404B" w:rsidRDefault="00595F72" w:rsidP="00595F72">
      <w:pPr>
        <w:pStyle w:val="ListParagraph"/>
        <w:numPr>
          <w:ilvl w:val="0"/>
          <w:numId w:val="14"/>
        </w:numPr>
        <w:spacing w:before="0"/>
        <w:ind w:left="0" w:firstLine="0"/>
      </w:pPr>
      <w:r>
        <w:t>U</w:t>
      </w:r>
      <w:r w:rsidR="0089404B">
        <w:t>nder the Ticket to Work program, when a</w:t>
      </w:r>
      <w:r w:rsidR="00DB5F4D">
        <w:t xml:space="preserve">n individual </w:t>
      </w:r>
      <w:r w:rsidR="0089404B">
        <w:t xml:space="preserve">assigns </w:t>
      </w:r>
      <w:r w:rsidR="00DB5F4D">
        <w:t>their</w:t>
      </w:r>
      <w:r w:rsidR="0089404B">
        <w:t xml:space="preserve"> Ticket to DBVI (or another Employment Network), SSA will not perform a medical CDR for one year following the date of his/her Ticket assignment.</w:t>
      </w:r>
    </w:p>
    <w:p w14:paraId="252DDEC1" w14:textId="6BC75F49" w:rsidR="003874C6" w:rsidRDefault="003874C6" w:rsidP="0089404B"/>
    <w:p w14:paraId="5A9F772B" w14:textId="0450080E" w:rsidR="003874C6" w:rsidRDefault="003874C6" w:rsidP="0012092A">
      <w:pPr>
        <w:pStyle w:val="ListParagraph"/>
        <w:numPr>
          <w:ilvl w:val="0"/>
          <w:numId w:val="14"/>
        </w:numPr>
        <w:spacing w:before="0"/>
        <w:ind w:left="0" w:firstLine="0"/>
      </w:pPr>
      <w:r>
        <w:t xml:space="preserve">SSA will suspend medical CDR’s for up to five additional years if the beneficiary </w:t>
      </w:r>
      <w:r w:rsidR="000605AB">
        <w:t>is</w:t>
      </w:r>
      <w:r>
        <w:t xml:space="preserve"> making timely progress.  Timely progress is defined </w:t>
      </w:r>
      <w:r w:rsidR="00EE03BC">
        <w:t>by the following timeline and required benchmarks for timely progress to continue suspension of Medical Reviews</w:t>
      </w:r>
      <w:r>
        <w:t>:</w:t>
      </w:r>
    </w:p>
    <w:p w14:paraId="7C706DF7" w14:textId="0037A0C2" w:rsidR="00FF7490" w:rsidRDefault="00FF7490" w:rsidP="0089404B"/>
    <w:p w14:paraId="711EE80C" w14:textId="3859019B" w:rsidR="00FF7490" w:rsidRDefault="00FF7490" w:rsidP="0089404B">
      <w:r w:rsidRPr="00EE03BC">
        <w:rPr>
          <w:b/>
          <w:bCs/>
        </w:rPr>
        <w:lastRenderedPageBreak/>
        <w:t>By End of Year One</w:t>
      </w:r>
      <w:r>
        <w:t xml:space="preserve"> – Three months of work at a Trial Work Level (defined by SSA) or 60% of full-time participation in a post-secondary education or vocational training program.</w:t>
      </w:r>
    </w:p>
    <w:p w14:paraId="499F61F0" w14:textId="027D0ABC" w:rsidR="00FF7490" w:rsidRDefault="00FF7490" w:rsidP="0089404B"/>
    <w:p w14:paraId="121179E9" w14:textId="01EF4CB0" w:rsidR="00FF7490" w:rsidRDefault="00FF7490" w:rsidP="0089404B">
      <w:r w:rsidRPr="00EE03BC">
        <w:rPr>
          <w:b/>
          <w:bCs/>
        </w:rPr>
        <w:t>By End of Year Two</w:t>
      </w:r>
      <w:r>
        <w:t xml:space="preserve"> – Six months of work at a Trial Work Level (defined by SSA) or 75% of full-time participation in a post-secondary education or vocational training program.</w:t>
      </w:r>
    </w:p>
    <w:p w14:paraId="545DA2F9" w14:textId="27421CA7" w:rsidR="00FF7490" w:rsidRDefault="00FF7490" w:rsidP="0089404B"/>
    <w:p w14:paraId="2E51F641" w14:textId="4BF044C9" w:rsidR="00FF7490" w:rsidRDefault="00FF7490" w:rsidP="0089404B">
      <w:r w:rsidRPr="00EE03BC">
        <w:rPr>
          <w:b/>
          <w:bCs/>
        </w:rPr>
        <w:t>By End of Year Three</w:t>
      </w:r>
      <w:r>
        <w:t xml:space="preserve"> – Nine months of Work at a Substantial Gainful Activity level (defined by SSA) or completion of a two-year degree.</w:t>
      </w:r>
    </w:p>
    <w:p w14:paraId="0E0D2202" w14:textId="28DE71CE" w:rsidR="00FF7490" w:rsidRDefault="00FF7490" w:rsidP="0089404B"/>
    <w:p w14:paraId="78C0C5D2" w14:textId="7CAFCC89" w:rsidR="00FF7490" w:rsidRDefault="00FF7490" w:rsidP="0089404B">
      <w:r w:rsidRPr="00EE03BC">
        <w:rPr>
          <w:b/>
          <w:bCs/>
        </w:rPr>
        <w:t>By End of Year Four</w:t>
      </w:r>
      <w:r>
        <w:t xml:space="preserve"> – Nine months of Work at a Substantial Gainful Activity level (defined by SSA) or completion of an additional year of post-secondary education.</w:t>
      </w:r>
    </w:p>
    <w:p w14:paraId="7F468D7D" w14:textId="50AF0000" w:rsidR="00FF7490" w:rsidRDefault="00FF7490" w:rsidP="0089404B"/>
    <w:p w14:paraId="649FE91F" w14:textId="640630DE" w:rsidR="00FF7490" w:rsidRDefault="00FF7490" w:rsidP="0089404B">
      <w:r w:rsidRPr="00EE03BC">
        <w:rPr>
          <w:b/>
          <w:bCs/>
        </w:rPr>
        <w:t>By End of Year Five</w:t>
      </w:r>
      <w:r>
        <w:t xml:space="preserve"> – Six months at zero benefits as a result of employment or completion of an additional year of post-secondary education.</w:t>
      </w:r>
    </w:p>
    <w:p w14:paraId="5C8D9CF2" w14:textId="3FCAEA1F" w:rsidR="00FF7490" w:rsidRDefault="00FF7490" w:rsidP="0089404B"/>
    <w:p w14:paraId="66848AEA" w14:textId="79CA3A64" w:rsidR="00FF7490" w:rsidRDefault="00FF7490" w:rsidP="0089404B">
      <w:r w:rsidRPr="00EE03BC">
        <w:rPr>
          <w:b/>
          <w:bCs/>
        </w:rPr>
        <w:t>By End of Year Six</w:t>
      </w:r>
      <w:r>
        <w:t xml:space="preserve"> – Six months at zero benefits as a result of employment or completion of a four-year degree.</w:t>
      </w:r>
    </w:p>
    <w:p w14:paraId="5E2F06BD" w14:textId="4D22569A" w:rsidR="00FF7490" w:rsidRDefault="00FF7490" w:rsidP="0089404B"/>
    <w:p w14:paraId="396138E6" w14:textId="58792035" w:rsidR="00FF7490" w:rsidRDefault="00FF7490" w:rsidP="0089404B">
      <w:r>
        <w:t xml:space="preserve">The timely progress rules and the potential impact of a medical CDR are very complex.  It is strongly recommended that the DBVI counselor refer </w:t>
      </w:r>
      <w:r w:rsidR="00183AA4">
        <w:t>the individual</w:t>
      </w:r>
      <w:r>
        <w:t xml:space="preserve"> to a </w:t>
      </w:r>
      <w:r w:rsidR="003D221F">
        <w:t>Certified Work Incentives Counselor (CWIC)</w:t>
      </w:r>
      <w:r>
        <w:t xml:space="preserve"> if they have concerns about these provisions.</w:t>
      </w:r>
    </w:p>
    <w:p w14:paraId="4F98E508" w14:textId="0CBEA452" w:rsidR="00EE03BC" w:rsidRDefault="006B5BA1" w:rsidP="006B5BA1">
      <w:pPr>
        <w:pStyle w:val="Heading1"/>
        <w:numPr>
          <w:ilvl w:val="0"/>
          <w:numId w:val="0"/>
        </w:numPr>
      </w:pPr>
      <w:bookmarkStart w:id="12" w:name="_Toc95237203"/>
      <w:r>
        <w:t>Section V.  Employment Network Partnerships</w:t>
      </w:r>
      <w:bookmarkEnd w:id="12"/>
    </w:p>
    <w:p w14:paraId="08B2A533" w14:textId="58B5AF85" w:rsidR="006B5BA1" w:rsidRDefault="006B5BA1" w:rsidP="0089404B"/>
    <w:p w14:paraId="4D1B6C2A" w14:textId="5F6D4001" w:rsidR="006B5BA1" w:rsidRDefault="006B5BA1" w:rsidP="0012092A">
      <w:pPr>
        <w:pStyle w:val="ListParagraph"/>
        <w:numPr>
          <w:ilvl w:val="0"/>
          <w:numId w:val="16"/>
        </w:numPr>
        <w:spacing w:before="0"/>
        <w:ind w:left="0" w:firstLine="0"/>
      </w:pPr>
      <w:r>
        <w:t>DBVI has partnership agreements with all the Vermont Designated Agencies and Specialized Service agencies that provide supported employment services and JOBS program services.  As part of this agreement all the Designated Agencies in Vermont have agreed to participate in DBVI/Designated Agency Employment Network Partnership.  DBVI and the agencies will operate as a single Employment Network. DBVI will act as the administrative agent for the Ticket program and all Tickets will be assigned to DBVI.</w:t>
      </w:r>
    </w:p>
    <w:p w14:paraId="43A195DA" w14:textId="28FE9DA5" w:rsidR="006B5BA1" w:rsidRDefault="006B5BA1" w:rsidP="00183AA4"/>
    <w:p w14:paraId="4AF2876D" w14:textId="0790EEF8" w:rsidR="006B5BA1" w:rsidRDefault="006B5BA1" w:rsidP="0012092A">
      <w:pPr>
        <w:pStyle w:val="ListParagraph"/>
        <w:numPr>
          <w:ilvl w:val="0"/>
          <w:numId w:val="16"/>
        </w:numPr>
        <w:spacing w:before="0"/>
        <w:ind w:left="0" w:firstLine="0"/>
      </w:pPr>
      <w:r>
        <w:t>DBVI counselors should follow the procedures in Section 3 regarding Ticket assignment for customers served through supported employment and JOBS programs.</w:t>
      </w:r>
    </w:p>
    <w:p w14:paraId="2ABE4082" w14:textId="10736F99" w:rsidR="008628EB" w:rsidRDefault="008628EB" w:rsidP="008628EB">
      <w:pPr>
        <w:pStyle w:val="Heading1"/>
        <w:numPr>
          <w:ilvl w:val="0"/>
          <w:numId w:val="0"/>
        </w:numPr>
      </w:pPr>
      <w:bookmarkStart w:id="13" w:name="_Toc95237204"/>
      <w:r>
        <w:t xml:space="preserve">Section VI.  Changes </w:t>
      </w:r>
      <w:r w:rsidR="0045074A">
        <w:t>i</w:t>
      </w:r>
      <w:r>
        <w:t>n Procedures</w:t>
      </w:r>
      <w:bookmarkEnd w:id="13"/>
    </w:p>
    <w:p w14:paraId="3F70C9CE" w14:textId="48AAD2BF" w:rsidR="008628EB" w:rsidRDefault="008628EB" w:rsidP="008628EB"/>
    <w:p w14:paraId="5C63C4A6" w14:textId="0E23E9FA" w:rsidR="008628EB" w:rsidRDefault="008628EB" w:rsidP="0012092A">
      <w:pPr>
        <w:pStyle w:val="ListParagraph"/>
        <w:numPr>
          <w:ilvl w:val="0"/>
          <w:numId w:val="17"/>
        </w:numPr>
        <w:spacing w:before="0"/>
        <w:ind w:left="0" w:firstLine="0"/>
      </w:pPr>
      <w:r>
        <w:t>It is not uncommon for SSA or Maximus to change or add administrative procedures to the Ticket to Work Program.  Therefore, DBVI central office will inform DBVI staff of any changes in procedure and will amend policy accordingly.</w:t>
      </w:r>
    </w:p>
    <w:p w14:paraId="56EE2A4A" w14:textId="35A9B30E" w:rsidR="008628EB" w:rsidRDefault="008628EB" w:rsidP="008628EB">
      <w:pPr>
        <w:pStyle w:val="Heading1"/>
        <w:numPr>
          <w:ilvl w:val="0"/>
          <w:numId w:val="0"/>
        </w:numPr>
      </w:pPr>
      <w:bookmarkStart w:id="14" w:name="_Toc95237205"/>
      <w:r>
        <w:t xml:space="preserve">Section VII.  Ticket </w:t>
      </w:r>
      <w:r w:rsidR="0045074A">
        <w:t>t</w:t>
      </w:r>
      <w:r>
        <w:t>o Work Frequently Asked Questions (FAQ)</w:t>
      </w:r>
      <w:bookmarkEnd w:id="14"/>
    </w:p>
    <w:p w14:paraId="4A7AC7F6" w14:textId="3CB1132D" w:rsidR="008628EB" w:rsidRDefault="008628EB" w:rsidP="008628EB"/>
    <w:p w14:paraId="70398C12" w14:textId="61D57F25" w:rsidR="008628EB" w:rsidRPr="0012092A" w:rsidRDefault="008628EB" w:rsidP="0012092A">
      <w:pPr>
        <w:pStyle w:val="ListParagraph"/>
        <w:numPr>
          <w:ilvl w:val="0"/>
          <w:numId w:val="18"/>
        </w:numPr>
        <w:rPr>
          <w:b/>
          <w:bCs/>
        </w:rPr>
      </w:pPr>
      <w:r w:rsidRPr="0012092A">
        <w:rPr>
          <w:b/>
          <w:bCs/>
        </w:rPr>
        <w:t>What is the Ticket to Work?</w:t>
      </w:r>
    </w:p>
    <w:p w14:paraId="29374ECA" w14:textId="5C2EC5C6" w:rsidR="008628EB" w:rsidRDefault="008628EB" w:rsidP="0012092A"/>
    <w:p w14:paraId="096630C6" w14:textId="15C7A28C" w:rsidR="008628EB" w:rsidRDefault="008628EB" w:rsidP="0012092A">
      <w:pPr>
        <w:ind w:left="360"/>
      </w:pPr>
      <w:r>
        <w:lastRenderedPageBreak/>
        <w:t>The Ticket to Work is a Social Security Administration program designed to help SSI and SSDI beneficiaries get services that will help them return to work.  You can assign your Ticket to any participating provider (called an Employment Network) in the program.  DBVI is an Employment Network.</w:t>
      </w:r>
    </w:p>
    <w:p w14:paraId="26B3991F" w14:textId="5305FFF2" w:rsidR="008628EB" w:rsidRDefault="008628EB" w:rsidP="0012092A"/>
    <w:p w14:paraId="2838BDE8" w14:textId="78610FDB" w:rsidR="008628EB" w:rsidRPr="0012092A" w:rsidRDefault="008628EB" w:rsidP="0012092A">
      <w:pPr>
        <w:pStyle w:val="ListParagraph"/>
        <w:numPr>
          <w:ilvl w:val="0"/>
          <w:numId w:val="18"/>
        </w:numPr>
        <w:rPr>
          <w:b/>
          <w:bCs/>
        </w:rPr>
      </w:pPr>
      <w:r w:rsidRPr="0012092A">
        <w:rPr>
          <w:b/>
          <w:bCs/>
        </w:rPr>
        <w:t>Wh</w:t>
      </w:r>
      <w:r w:rsidR="00310DF3" w:rsidRPr="0012092A">
        <w:rPr>
          <w:b/>
          <w:bCs/>
        </w:rPr>
        <w:t>y</w:t>
      </w:r>
      <w:r w:rsidRPr="0012092A">
        <w:rPr>
          <w:b/>
          <w:bCs/>
        </w:rPr>
        <w:t xml:space="preserve"> does DBVI participate in</w:t>
      </w:r>
      <w:r w:rsidR="00310DF3" w:rsidRPr="0012092A">
        <w:rPr>
          <w:b/>
          <w:bCs/>
        </w:rPr>
        <w:t xml:space="preserve"> </w:t>
      </w:r>
      <w:r w:rsidRPr="0012092A">
        <w:rPr>
          <w:b/>
          <w:bCs/>
        </w:rPr>
        <w:t>t</w:t>
      </w:r>
      <w:r w:rsidR="00310DF3" w:rsidRPr="0012092A">
        <w:rPr>
          <w:b/>
          <w:bCs/>
        </w:rPr>
        <w:t>he</w:t>
      </w:r>
      <w:r w:rsidRPr="0012092A">
        <w:rPr>
          <w:b/>
          <w:bCs/>
        </w:rPr>
        <w:t xml:space="preserve"> Ticket to Work?</w:t>
      </w:r>
    </w:p>
    <w:p w14:paraId="316F67F7" w14:textId="51C80C73" w:rsidR="008628EB" w:rsidRDefault="008628EB" w:rsidP="0012092A"/>
    <w:p w14:paraId="029267CE" w14:textId="1F1D6D9C" w:rsidR="008628EB" w:rsidRDefault="008628EB" w:rsidP="0012092A">
      <w:pPr>
        <w:ind w:left="360"/>
      </w:pPr>
      <w:r>
        <w:t>If you go to work and earn above a certain level, DBVI will receive outcome payments from the Social Security Administration.  DBVI puts those funds back into services for other customers.</w:t>
      </w:r>
    </w:p>
    <w:p w14:paraId="4702C9C5" w14:textId="51036B13" w:rsidR="008628EB" w:rsidRDefault="008628EB" w:rsidP="0012092A"/>
    <w:p w14:paraId="0B2F8FF2" w14:textId="133002AA" w:rsidR="008628EB" w:rsidRPr="0012092A" w:rsidRDefault="008628EB" w:rsidP="0012092A">
      <w:pPr>
        <w:pStyle w:val="ListParagraph"/>
        <w:numPr>
          <w:ilvl w:val="0"/>
          <w:numId w:val="18"/>
        </w:numPr>
        <w:rPr>
          <w:b/>
          <w:bCs/>
        </w:rPr>
      </w:pPr>
      <w:r w:rsidRPr="0012092A">
        <w:rPr>
          <w:b/>
          <w:bCs/>
        </w:rPr>
        <w:t>What happens if I am not able to go to work?</w:t>
      </w:r>
    </w:p>
    <w:p w14:paraId="02EE888F" w14:textId="135D4A2D" w:rsidR="008628EB" w:rsidRDefault="008628EB" w:rsidP="0012092A"/>
    <w:p w14:paraId="7CF3529F" w14:textId="07065C96" w:rsidR="008628EB" w:rsidRDefault="008628EB" w:rsidP="0012092A">
      <w:pPr>
        <w:ind w:left="360"/>
      </w:pPr>
      <w:r>
        <w:t>Nothing.  There is no consequence if you are not able to go to work after assigning your Ticket.</w:t>
      </w:r>
    </w:p>
    <w:p w14:paraId="7D8301A5" w14:textId="1E79073C" w:rsidR="008628EB" w:rsidRPr="0012092A" w:rsidRDefault="008628EB" w:rsidP="0012092A">
      <w:pPr>
        <w:pStyle w:val="ListParagraph"/>
        <w:numPr>
          <w:ilvl w:val="0"/>
          <w:numId w:val="18"/>
        </w:numPr>
        <w:rPr>
          <w:b/>
          <w:bCs/>
        </w:rPr>
      </w:pPr>
      <w:r w:rsidRPr="0012092A">
        <w:rPr>
          <w:b/>
          <w:bCs/>
        </w:rPr>
        <w:t>Other than employment services, do I get any other benefit by participating in the Ticket to Work Program?</w:t>
      </w:r>
    </w:p>
    <w:p w14:paraId="61CB4334" w14:textId="7C924C43" w:rsidR="008628EB" w:rsidRDefault="008628EB" w:rsidP="0012092A"/>
    <w:p w14:paraId="1384A2B9" w14:textId="2E78CCC2" w:rsidR="008628EB" w:rsidRDefault="008628EB" w:rsidP="0012092A">
      <w:pPr>
        <w:ind w:left="360"/>
      </w:pPr>
      <w:r>
        <w:t>The Social</w:t>
      </w:r>
      <w:r w:rsidR="00310DF3">
        <w:t xml:space="preserve"> Security Administration will suspend any scheduled medical review for at least one year after you assign your Ticket.  They will extend the suspension of medical reviews for additional years (up to six years total) if you meet certain employment, training, or educational goals.  For more details you should talk to a </w:t>
      </w:r>
      <w:r w:rsidR="0010732C">
        <w:t>Certified Work Incentives C</w:t>
      </w:r>
      <w:r w:rsidR="00310DF3">
        <w:t>ounselor</w:t>
      </w:r>
      <w:r w:rsidR="0010732C">
        <w:t xml:space="preserve"> (CWIC)</w:t>
      </w:r>
      <w:r w:rsidR="00310DF3">
        <w:t>.</w:t>
      </w:r>
    </w:p>
    <w:p w14:paraId="4B738952" w14:textId="73CED969" w:rsidR="00310DF3" w:rsidRPr="0012092A" w:rsidRDefault="00310DF3" w:rsidP="0012092A">
      <w:pPr>
        <w:pStyle w:val="ListParagraph"/>
        <w:numPr>
          <w:ilvl w:val="0"/>
          <w:numId w:val="18"/>
        </w:numPr>
        <w:rPr>
          <w:b/>
          <w:bCs/>
        </w:rPr>
      </w:pPr>
      <w:r w:rsidRPr="0012092A">
        <w:rPr>
          <w:b/>
          <w:bCs/>
        </w:rPr>
        <w:t>Do I have to participate in the Ticket to Work program?</w:t>
      </w:r>
    </w:p>
    <w:p w14:paraId="732D4D42" w14:textId="0F23856C" w:rsidR="00310DF3" w:rsidRDefault="00310DF3" w:rsidP="0012092A"/>
    <w:p w14:paraId="60C2471E" w14:textId="7BA2469F" w:rsidR="00310DF3" w:rsidRDefault="00310DF3" w:rsidP="0012092A">
      <w:pPr>
        <w:ind w:left="360"/>
      </w:pPr>
      <w:r>
        <w:t xml:space="preserve">If you sign a DBVI Individual Plan for Employment (IPE), the Social Security Administration considers that you are using your Ticket to Work.  DBVI is required to inform the Social Security Administration when </w:t>
      </w:r>
      <w:r w:rsidR="000605AB">
        <w:t>an</w:t>
      </w:r>
      <w:r>
        <w:t xml:space="preserve"> SSI or SSDI beneficiary signs a DBVI IPE.</w:t>
      </w:r>
    </w:p>
    <w:p w14:paraId="099786A5" w14:textId="1515228A" w:rsidR="00310DF3" w:rsidRDefault="00310DF3" w:rsidP="0012092A"/>
    <w:p w14:paraId="66DABD41" w14:textId="1D042FEA" w:rsidR="00310DF3" w:rsidRDefault="00310DF3" w:rsidP="0012092A">
      <w:pPr>
        <w:ind w:left="360"/>
      </w:pPr>
      <w:r>
        <w:t>If you would like more information on the Ticket to Work Program, you can contact the following independent informational resources:</w:t>
      </w:r>
    </w:p>
    <w:p w14:paraId="44AEE99E" w14:textId="0545226D" w:rsidR="00310DF3" w:rsidRDefault="00310DF3" w:rsidP="0012092A"/>
    <w:p w14:paraId="484662C6" w14:textId="667A94EC" w:rsidR="00310DF3" w:rsidRDefault="00310DF3" w:rsidP="0012092A">
      <w:pPr>
        <w:ind w:left="360"/>
      </w:pPr>
      <w:r>
        <w:t xml:space="preserve">Social Security Administration:  1-800-772-1213 or TTY 1-800-325-0778 or </w:t>
      </w:r>
      <w:hyperlink r:id="rId10" w:history="1">
        <w:r w:rsidRPr="00612E4F">
          <w:rPr>
            <w:rStyle w:val="Hyperlink"/>
          </w:rPr>
          <w:t>www.socialsecurity.gov/work</w:t>
        </w:r>
      </w:hyperlink>
    </w:p>
    <w:p w14:paraId="7F2CCAC7" w14:textId="07C82D00" w:rsidR="00310DF3" w:rsidRDefault="00310DF3" w:rsidP="0012092A"/>
    <w:p w14:paraId="257320C9" w14:textId="1E885A0E" w:rsidR="00310DF3" w:rsidRDefault="00310DF3" w:rsidP="0012092A">
      <w:pPr>
        <w:ind w:left="360"/>
      </w:pPr>
      <w:r>
        <w:t xml:space="preserve">MAXIMUS:  1-866-968-7842 or </w:t>
      </w:r>
      <w:hyperlink r:id="rId11" w:history="1">
        <w:r w:rsidRPr="00612E4F">
          <w:rPr>
            <w:rStyle w:val="Hyperlink"/>
          </w:rPr>
          <w:t>www.yourtickettowork.com</w:t>
        </w:r>
      </w:hyperlink>
    </w:p>
    <w:p w14:paraId="1614449B" w14:textId="7E4185F8" w:rsidR="00310DF3" w:rsidRDefault="00310DF3" w:rsidP="0012092A"/>
    <w:p w14:paraId="32BD7288" w14:textId="3DAE1E68" w:rsidR="00310DF3" w:rsidRDefault="00310DF3" w:rsidP="0012092A">
      <w:pPr>
        <w:ind w:left="360"/>
      </w:pPr>
      <w:r>
        <w:t>Vermont Protection and Advocacy, Inc.: 1-800-834-7890</w:t>
      </w:r>
    </w:p>
    <w:p w14:paraId="5BD14356" w14:textId="061125FE" w:rsidR="00310DF3" w:rsidRDefault="00310DF3" w:rsidP="0012092A"/>
    <w:p w14:paraId="5AEB3C64" w14:textId="5DC8C46B" w:rsidR="00310DF3" w:rsidRDefault="00310DF3" w:rsidP="0012092A">
      <w:pPr>
        <w:ind w:left="360"/>
      </w:pPr>
      <w:r>
        <w:t>Vermont Center for Independent Living:  1-800-639-1522</w:t>
      </w:r>
    </w:p>
    <w:p w14:paraId="7A242D43" w14:textId="58E94EDC" w:rsidR="00141099" w:rsidRDefault="00141099" w:rsidP="0012092A">
      <w:pPr>
        <w:ind w:left="360"/>
      </w:pPr>
    </w:p>
    <w:p w14:paraId="098340F1" w14:textId="58505339" w:rsidR="00141099" w:rsidRDefault="00141099" w:rsidP="0012092A">
      <w:pPr>
        <w:ind w:left="360"/>
      </w:pPr>
      <w:r>
        <w:t>HireAbility Work Incentives Hotline:  1-800-361-1236</w:t>
      </w:r>
    </w:p>
    <w:p w14:paraId="7D0DD402" w14:textId="168B52A8" w:rsidR="00310DF3" w:rsidRDefault="00310DF3" w:rsidP="0012092A"/>
    <w:p w14:paraId="79EEA94E" w14:textId="4968536D" w:rsidR="00310DF3" w:rsidRPr="0012092A" w:rsidRDefault="00310DF3" w:rsidP="0012092A">
      <w:pPr>
        <w:ind w:left="360"/>
        <w:rPr>
          <w:b/>
          <w:bCs/>
        </w:rPr>
      </w:pPr>
      <w:r w:rsidRPr="0012092A">
        <w:rPr>
          <w:b/>
          <w:bCs/>
        </w:rPr>
        <w:t>What happens to my SSI or SSDI benefits if I go to work?</w:t>
      </w:r>
    </w:p>
    <w:p w14:paraId="42554906" w14:textId="3E39B0F3" w:rsidR="00310DF3" w:rsidRDefault="00310DF3" w:rsidP="0012092A"/>
    <w:p w14:paraId="46463FC7" w14:textId="7D1C8664" w:rsidR="00310DF3" w:rsidRDefault="00310DF3" w:rsidP="0012092A">
      <w:pPr>
        <w:ind w:left="360"/>
      </w:pPr>
      <w:r>
        <w:t>Going to work</w:t>
      </w:r>
      <w:r w:rsidR="00FF5612">
        <w:t xml:space="preserve"> may affect your SSI and SSDI benefits as well as other state or federal benefits you receive.  It depends on how much you work and what benefits you receive.  In most cases you will be financially better off if you are able to work.  However, it is very important </w:t>
      </w:r>
      <w:r w:rsidR="00567AE6">
        <w:t xml:space="preserve">that </w:t>
      </w:r>
      <w:r w:rsidR="00FF5612">
        <w:t xml:space="preserve">you get </w:t>
      </w:r>
      <w:r w:rsidR="00567AE6">
        <w:t>accurate and up to date</w:t>
      </w:r>
      <w:r w:rsidR="00FF5612">
        <w:t xml:space="preserve"> information on your specific situation.  DBVI strongly recommends that you work with a qualified </w:t>
      </w:r>
      <w:r w:rsidR="00E33BCD">
        <w:t>Certified Work Incentives C</w:t>
      </w:r>
      <w:r w:rsidR="00FF5612">
        <w:t>ounselor to help you understand how work will affect your benefits.</w:t>
      </w:r>
    </w:p>
    <w:p w14:paraId="2DD812B0" w14:textId="5551AEF2" w:rsidR="00FF5612" w:rsidRDefault="00FF5612" w:rsidP="0012092A"/>
    <w:p w14:paraId="39B15EEB" w14:textId="0C40FB7B" w:rsidR="00FF5612" w:rsidRPr="008628EB" w:rsidRDefault="00FF5612" w:rsidP="0012092A">
      <w:pPr>
        <w:ind w:left="360"/>
      </w:pPr>
      <w:r>
        <w:t xml:space="preserve">In Vermont you can receive </w:t>
      </w:r>
      <w:r w:rsidR="00E33BCD">
        <w:t>work incentives</w:t>
      </w:r>
      <w:r>
        <w:t xml:space="preserve"> counseling services from DBVI by contacting your counselor</w:t>
      </w:r>
      <w:r w:rsidR="00E33BCD">
        <w:t>,</w:t>
      </w:r>
      <w:r>
        <w:t xml:space="preserve"> or by contacting the Vermont Center for Independent Living at 1-800-639-1522</w:t>
      </w:r>
      <w:r w:rsidR="00E33BCD">
        <w:t>, or HireAbility Work Incentives Hotline at 1-800-361-1236.</w:t>
      </w:r>
    </w:p>
    <w:sectPr w:rsidR="00FF5612" w:rsidRPr="008628EB"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5BB1" w14:textId="49EB9042" w:rsidR="00BE3882" w:rsidRDefault="00E33BCD" w:rsidP="00E66FFC">
    <w:pPr>
      <w:pStyle w:val="Header"/>
    </w:pPr>
    <w:fldSimple w:instr=" REF  ChapterNumber  \* MERGEFORMAT ">
      <w:r w:rsidR="00FD434C" w:rsidRPr="00217CE9">
        <w:t>Chapter</w:t>
      </w:r>
      <w:r w:rsidR="00FD434C">
        <w:t xml:space="preserve"> 21:</w:t>
      </w:r>
    </w:fldSimple>
    <w:r w:rsidR="00BE3882">
      <w:t xml:space="preserve"> </w:t>
    </w:r>
    <w:r w:rsidR="00EC4390">
      <w:t xml:space="preserve">Ticket </w:t>
    </w:r>
    <w:r w:rsidR="006C32AE">
      <w:t>t</w:t>
    </w:r>
    <w:r w:rsidR="00EC4390">
      <w:t>o Work</w:t>
    </w:r>
  </w:p>
  <w:p w14:paraId="3BAE870B" w14:textId="31F16045"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3F3D39">
      <w:t>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2D365CB"/>
    <w:multiLevelType w:val="hybridMultilevel"/>
    <w:tmpl w:val="C994C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B74F9"/>
    <w:multiLevelType w:val="hybridMultilevel"/>
    <w:tmpl w:val="7AA6CEF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3271522C"/>
    <w:multiLevelType w:val="hybridMultilevel"/>
    <w:tmpl w:val="3BDE2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E434C"/>
    <w:multiLevelType w:val="hybridMultilevel"/>
    <w:tmpl w:val="0A3C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D1D12"/>
    <w:multiLevelType w:val="hybridMultilevel"/>
    <w:tmpl w:val="34063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F41FD"/>
    <w:multiLevelType w:val="hybridMultilevel"/>
    <w:tmpl w:val="6FE2A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4" w15:restartNumberingAfterBreak="0">
    <w:nsid w:val="567A5E35"/>
    <w:multiLevelType w:val="hybridMultilevel"/>
    <w:tmpl w:val="31FA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16" w15:restartNumberingAfterBreak="0">
    <w:nsid w:val="77177A4D"/>
    <w:multiLevelType w:val="hybridMultilevel"/>
    <w:tmpl w:val="53729E22"/>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D3C3646"/>
    <w:multiLevelType w:val="hybridMultilevel"/>
    <w:tmpl w:val="44084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30619">
    <w:abstractNumId w:val="13"/>
  </w:num>
  <w:num w:numId="2" w16cid:durableId="1600679226">
    <w:abstractNumId w:val="15"/>
  </w:num>
  <w:num w:numId="3" w16cid:durableId="2143381556">
    <w:abstractNumId w:val="5"/>
  </w:num>
  <w:num w:numId="4" w16cid:durableId="1089042268">
    <w:abstractNumId w:val="4"/>
  </w:num>
  <w:num w:numId="5" w16cid:durableId="1223374407">
    <w:abstractNumId w:val="3"/>
  </w:num>
  <w:num w:numId="6" w16cid:durableId="1219439631">
    <w:abstractNumId w:val="2"/>
  </w:num>
  <w:num w:numId="7" w16cid:durableId="1519538725">
    <w:abstractNumId w:val="1"/>
  </w:num>
  <w:num w:numId="8" w16cid:durableId="372266942">
    <w:abstractNumId w:val="0"/>
  </w:num>
  <w:num w:numId="9" w16cid:durableId="667056208">
    <w:abstractNumId w:val="8"/>
  </w:num>
  <w:num w:numId="10" w16cid:durableId="500777855">
    <w:abstractNumId w:val="9"/>
  </w:num>
  <w:num w:numId="11" w16cid:durableId="1812598019">
    <w:abstractNumId w:val="10"/>
  </w:num>
  <w:num w:numId="12" w16cid:durableId="1361971774">
    <w:abstractNumId w:val="12"/>
  </w:num>
  <w:num w:numId="13" w16cid:durableId="295568337">
    <w:abstractNumId w:val="16"/>
  </w:num>
  <w:num w:numId="14" w16cid:durableId="31226393">
    <w:abstractNumId w:val="11"/>
  </w:num>
  <w:num w:numId="15" w16cid:durableId="610091162">
    <w:abstractNumId w:val="7"/>
  </w:num>
  <w:num w:numId="16" w16cid:durableId="1106121133">
    <w:abstractNumId w:val="17"/>
  </w:num>
  <w:num w:numId="17" w16cid:durableId="529147268">
    <w:abstractNumId w:val="6"/>
  </w:num>
  <w:num w:numId="18" w16cid:durableId="159786144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136B2"/>
    <w:rsid w:val="00025E4E"/>
    <w:rsid w:val="00026CEA"/>
    <w:rsid w:val="00027382"/>
    <w:rsid w:val="000605AB"/>
    <w:rsid w:val="00070A04"/>
    <w:rsid w:val="00070FC8"/>
    <w:rsid w:val="00082EE2"/>
    <w:rsid w:val="00083D29"/>
    <w:rsid w:val="00090CCC"/>
    <w:rsid w:val="000B7FAC"/>
    <w:rsid w:val="000D3BC7"/>
    <w:rsid w:val="000D55A6"/>
    <w:rsid w:val="000D63E3"/>
    <w:rsid w:val="000E2E5E"/>
    <w:rsid w:val="000E5EAD"/>
    <w:rsid w:val="000F4A20"/>
    <w:rsid w:val="0010732C"/>
    <w:rsid w:val="0011329F"/>
    <w:rsid w:val="00116D2A"/>
    <w:rsid w:val="0012092A"/>
    <w:rsid w:val="00121F48"/>
    <w:rsid w:val="00141099"/>
    <w:rsid w:val="00143B68"/>
    <w:rsid w:val="00152EFC"/>
    <w:rsid w:val="00171F93"/>
    <w:rsid w:val="00183AA4"/>
    <w:rsid w:val="0018485A"/>
    <w:rsid w:val="001A08C2"/>
    <w:rsid w:val="001A20BB"/>
    <w:rsid w:val="001A6448"/>
    <w:rsid w:val="001C2799"/>
    <w:rsid w:val="001C35CC"/>
    <w:rsid w:val="001C6270"/>
    <w:rsid w:val="001D14BC"/>
    <w:rsid w:val="001D682B"/>
    <w:rsid w:val="001E5277"/>
    <w:rsid w:val="001F146C"/>
    <w:rsid w:val="001F20E4"/>
    <w:rsid w:val="001F5784"/>
    <w:rsid w:val="00200726"/>
    <w:rsid w:val="00200D4D"/>
    <w:rsid w:val="002017E7"/>
    <w:rsid w:val="0021151E"/>
    <w:rsid w:val="00217CE9"/>
    <w:rsid w:val="00256244"/>
    <w:rsid w:val="00266ACE"/>
    <w:rsid w:val="002671FD"/>
    <w:rsid w:val="0027370E"/>
    <w:rsid w:val="002850DC"/>
    <w:rsid w:val="002F0590"/>
    <w:rsid w:val="003076AD"/>
    <w:rsid w:val="00307822"/>
    <w:rsid w:val="00310DF3"/>
    <w:rsid w:val="00311862"/>
    <w:rsid w:val="0032251B"/>
    <w:rsid w:val="00334DFD"/>
    <w:rsid w:val="00340C6E"/>
    <w:rsid w:val="00357FE2"/>
    <w:rsid w:val="0036205E"/>
    <w:rsid w:val="0037675D"/>
    <w:rsid w:val="00382BBF"/>
    <w:rsid w:val="00383F81"/>
    <w:rsid w:val="003874C6"/>
    <w:rsid w:val="00390203"/>
    <w:rsid w:val="00396789"/>
    <w:rsid w:val="003C2CE1"/>
    <w:rsid w:val="003D0B28"/>
    <w:rsid w:val="003D221F"/>
    <w:rsid w:val="003D604F"/>
    <w:rsid w:val="003D723C"/>
    <w:rsid w:val="003E78CD"/>
    <w:rsid w:val="003F229D"/>
    <w:rsid w:val="003F3D39"/>
    <w:rsid w:val="0040637C"/>
    <w:rsid w:val="004157DC"/>
    <w:rsid w:val="00444D16"/>
    <w:rsid w:val="0045074A"/>
    <w:rsid w:val="004626E9"/>
    <w:rsid w:val="00472CC3"/>
    <w:rsid w:val="004761E0"/>
    <w:rsid w:val="004877F3"/>
    <w:rsid w:val="00497E1E"/>
    <w:rsid w:val="004A3856"/>
    <w:rsid w:val="004A586E"/>
    <w:rsid w:val="004A777D"/>
    <w:rsid w:val="004B75E2"/>
    <w:rsid w:val="004C2984"/>
    <w:rsid w:val="004C747C"/>
    <w:rsid w:val="004E33B5"/>
    <w:rsid w:val="004E766E"/>
    <w:rsid w:val="00523947"/>
    <w:rsid w:val="00524DA7"/>
    <w:rsid w:val="00531CA5"/>
    <w:rsid w:val="00542BBB"/>
    <w:rsid w:val="00543296"/>
    <w:rsid w:val="00550F23"/>
    <w:rsid w:val="00567AE6"/>
    <w:rsid w:val="005926DC"/>
    <w:rsid w:val="0059376F"/>
    <w:rsid w:val="00595F72"/>
    <w:rsid w:val="005A1313"/>
    <w:rsid w:val="005A754A"/>
    <w:rsid w:val="005C7B76"/>
    <w:rsid w:val="005D576B"/>
    <w:rsid w:val="005D7CDA"/>
    <w:rsid w:val="005E087B"/>
    <w:rsid w:val="005F7B4C"/>
    <w:rsid w:val="00617259"/>
    <w:rsid w:val="006202DD"/>
    <w:rsid w:val="00620C10"/>
    <w:rsid w:val="006310BF"/>
    <w:rsid w:val="006417F4"/>
    <w:rsid w:val="00643C4C"/>
    <w:rsid w:val="00660DFA"/>
    <w:rsid w:val="0066230F"/>
    <w:rsid w:val="0067279F"/>
    <w:rsid w:val="00677F3C"/>
    <w:rsid w:val="006800DC"/>
    <w:rsid w:val="00690660"/>
    <w:rsid w:val="006A05B5"/>
    <w:rsid w:val="006B2108"/>
    <w:rsid w:val="006B3F6A"/>
    <w:rsid w:val="006B5BA1"/>
    <w:rsid w:val="006C32AE"/>
    <w:rsid w:val="006C3EC4"/>
    <w:rsid w:val="006C4BCE"/>
    <w:rsid w:val="006C668C"/>
    <w:rsid w:val="006C7DEE"/>
    <w:rsid w:val="006F4B06"/>
    <w:rsid w:val="006F7C39"/>
    <w:rsid w:val="0070105A"/>
    <w:rsid w:val="007154E1"/>
    <w:rsid w:val="00725564"/>
    <w:rsid w:val="00726FCA"/>
    <w:rsid w:val="00733637"/>
    <w:rsid w:val="0073512C"/>
    <w:rsid w:val="00756A61"/>
    <w:rsid w:val="00757698"/>
    <w:rsid w:val="007609E8"/>
    <w:rsid w:val="007738D2"/>
    <w:rsid w:val="00776F82"/>
    <w:rsid w:val="00786C3D"/>
    <w:rsid w:val="007A04D9"/>
    <w:rsid w:val="007A21DE"/>
    <w:rsid w:val="007A5B24"/>
    <w:rsid w:val="007B3548"/>
    <w:rsid w:val="007B5CDA"/>
    <w:rsid w:val="007C321E"/>
    <w:rsid w:val="007C3265"/>
    <w:rsid w:val="007C6B53"/>
    <w:rsid w:val="007D69D1"/>
    <w:rsid w:val="007D7944"/>
    <w:rsid w:val="007E3695"/>
    <w:rsid w:val="007F70A4"/>
    <w:rsid w:val="00831675"/>
    <w:rsid w:val="00835F24"/>
    <w:rsid w:val="008474D9"/>
    <w:rsid w:val="008510CD"/>
    <w:rsid w:val="00854747"/>
    <w:rsid w:val="00857918"/>
    <w:rsid w:val="008628EB"/>
    <w:rsid w:val="00867EEB"/>
    <w:rsid w:val="00874A03"/>
    <w:rsid w:val="00882762"/>
    <w:rsid w:val="0089404B"/>
    <w:rsid w:val="008A34F5"/>
    <w:rsid w:val="008A481F"/>
    <w:rsid w:val="008C52B4"/>
    <w:rsid w:val="008D124B"/>
    <w:rsid w:val="008D33EF"/>
    <w:rsid w:val="008D4379"/>
    <w:rsid w:val="008D67E8"/>
    <w:rsid w:val="008D6AD9"/>
    <w:rsid w:val="008F0F37"/>
    <w:rsid w:val="008F4D6B"/>
    <w:rsid w:val="00910842"/>
    <w:rsid w:val="00911281"/>
    <w:rsid w:val="00915CA6"/>
    <w:rsid w:val="009169D7"/>
    <w:rsid w:val="00916D2A"/>
    <w:rsid w:val="00917941"/>
    <w:rsid w:val="00923F84"/>
    <w:rsid w:val="0093258B"/>
    <w:rsid w:val="00934A08"/>
    <w:rsid w:val="0094318A"/>
    <w:rsid w:val="00955689"/>
    <w:rsid w:val="00961E60"/>
    <w:rsid w:val="0096648C"/>
    <w:rsid w:val="009727FD"/>
    <w:rsid w:val="00982A90"/>
    <w:rsid w:val="00984B15"/>
    <w:rsid w:val="0099333A"/>
    <w:rsid w:val="009B0986"/>
    <w:rsid w:val="009D2F48"/>
    <w:rsid w:val="009F5626"/>
    <w:rsid w:val="00A01FF8"/>
    <w:rsid w:val="00A03DE2"/>
    <w:rsid w:val="00A32ABB"/>
    <w:rsid w:val="00A34A37"/>
    <w:rsid w:val="00A36337"/>
    <w:rsid w:val="00A4297C"/>
    <w:rsid w:val="00A42F29"/>
    <w:rsid w:val="00A62B1D"/>
    <w:rsid w:val="00A65035"/>
    <w:rsid w:val="00A67426"/>
    <w:rsid w:val="00A823A7"/>
    <w:rsid w:val="00A86178"/>
    <w:rsid w:val="00AA54D2"/>
    <w:rsid w:val="00AA74B7"/>
    <w:rsid w:val="00AD204A"/>
    <w:rsid w:val="00AF5A00"/>
    <w:rsid w:val="00B04D4C"/>
    <w:rsid w:val="00B07D50"/>
    <w:rsid w:val="00B20CDA"/>
    <w:rsid w:val="00B30C70"/>
    <w:rsid w:val="00B326E1"/>
    <w:rsid w:val="00B52A0F"/>
    <w:rsid w:val="00B62234"/>
    <w:rsid w:val="00B726A5"/>
    <w:rsid w:val="00B73DB4"/>
    <w:rsid w:val="00B847F0"/>
    <w:rsid w:val="00B85871"/>
    <w:rsid w:val="00B86519"/>
    <w:rsid w:val="00B86EE0"/>
    <w:rsid w:val="00BA3500"/>
    <w:rsid w:val="00BA5FCC"/>
    <w:rsid w:val="00BC5122"/>
    <w:rsid w:val="00BE1D28"/>
    <w:rsid w:val="00BE3187"/>
    <w:rsid w:val="00BE3882"/>
    <w:rsid w:val="00BF5AFE"/>
    <w:rsid w:val="00C00AB7"/>
    <w:rsid w:val="00C03088"/>
    <w:rsid w:val="00C23E27"/>
    <w:rsid w:val="00C26C69"/>
    <w:rsid w:val="00C33633"/>
    <w:rsid w:val="00C431F4"/>
    <w:rsid w:val="00C51168"/>
    <w:rsid w:val="00C66FD6"/>
    <w:rsid w:val="00C67F83"/>
    <w:rsid w:val="00C87F89"/>
    <w:rsid w:val="00CB0218"/>
    <w:rsid w:val="00CB1695"/>
    <w:rsid w:val="00CB58A9"/>
    <w:rsid w:val="00CC6127"/>
    <w:rsid w:val="00CD12EF"/>
    <w:rsid w:val="00CE2A80"/>
    <w:rsid w:val="00CF635B"/>
    <w:rsid w:val="00D155D2"/>
    <w:rsid w:val="00D2476F"/>
    <w:rsid w:val="00D32FF1"/>
    <w:rsid w:val="00D4380D"/>
    <w:rsid w:val="00D468DC"/>
    <w:rsid w:val="00D65EA0"/>
    <w:rsid w:val="00D82399"/>
    <w:rsid w:val="00D90577"/>
    <w:rsid w:val="00D90E71"/>
    <w:rsid w:val="00D94366"/>
    <w:rsid w:val="00D9591F"/>
    <w:rsid w:val="00DA5C8E"/>
    <w:rsid w:val="00DB5F4D"/>
    <w:rsid w:val="00DC3DA1"/>
    <w:rsid w:val="00DC5C4B"/>
    <w:rsid w:val="00DD0542"/>
    <w:rsid w:val="00DD768F"/>
    <w:rsid w:val="00DE4A95"/>
    <w:rsid w:val="00E05D7F"/>
    <w:rsid w:val="00E10D38"/>
    <w:rsid w:val="00E1247A"/>
    <w:rsid w:val="00E17BCD"/>
    <w:rsid w:val="00E20101"/>
    <w:rsid w:val="00E33BCD"/>
    <w:rsid w:val="00E44E05"/>
    <w:rsid w:val="00E61D7C"/>
    <w:rsid w:val="00E66FFC"/>
    <w:rsid w:val="00E841C3"/>
    <w:rsid w:val="00E92F91"/>
    <w:rsid w:val="00E93B04"/>
    <w:rsid w:val="00EA02D0"/>
    <w:rsid w:val="00EB2056"/>
    <w:rsid w:val="00EB2145"/>
    <w:rsid w:val="00EB3F9F"/>
    <w:rsid w:val="00EB679D"/>
    <w:rsid w:val="00EC4390"/>
    <w:rsid w:val="00EC64AA"/>
    <w:rsid w:val="00ED15B7"/>
    <w:rsid w:val="00EE03BC"/>
    <w:rsid w:val="00EE4DF7"/>
    <w:rsid w:val="00EE6E8A"/>
    <w:rsid w:val="00EF2A73"/>
    <w:rsid w:val="00F03DA5"/>
    <w:rsid w:val="00F04192"/>
    <w:rsid w:val="00F041B5"/>
    <w:rsid w:val="00F24F2D"/>
    <w:rsid w:val="00F27378"/>
    <w:rsid w:val="00F313BE"/>
    <w:rsid w:val="00F3485C"/>
    <w:rsid w:val="00F36245"/>
    <w:rsid w:val="00F6553C"/>
    <w:rsid w:val="00F70DA8"/>
    <w:rsid w:val="00F733E6"/>
    <w:rsid w:val="00F861E5"/>
    <w:rsid w:val="00F907EB"/>
    <w:rsid w:val="00F91989"/>
    <w:rsid w:val="00FB35C7"/>
    <w:rsid w:val="00FC6667"/>
    <w:rsid w:val="00FD434C"/>
    <w:rsid w:val="00FE0D76"/>
    <w:rsid w:val="00FE3633"/>
    <w:rsid w:val="00FF4181"/>
    <w:rsid w:val="00FF5612"/>
    <w:rsid w:val="00FF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 w:type="character" w:styleId="UnresolvedMention">
    <w:name w:val="Unresolved Mention"/>
    <w:basedOn w:val="DefaultParagraphFont"/>
    <w:uiPriority w:val="99"/>
    <w:semiHidden/>
    <w:unhideWhenUsed/>
    <w:rsid w:val="00310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rtickettowork.com" TargetMode="External"/><Relationship Id="rId5" Type="http://schemas.openxmlformats.org/officeDocument/2006/relationships/webSettings" Target="webSettings.xml"/><Relationship Id="rId10" Type="http://schemas.openxmlformats.org/officeDocument/2006/relationships/hyperlink" Target="http://www.socialsecurity.gov/wor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1803</Words>
  <Characters>11395</Characters>
  <Application>Microsoft Office Word</Application>
  <DocSecurity>4</DocSecurity>
  <Lines>367</Lines>
  <Paragraphs>399</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Floyd, Mackenzie</cp:lastModifiedBy>
  <cp:revision>2</cp:revision>
  <cp:lastPrinted>2022-02-08T23:25:00Z</cp:lastPrinted>
  <dcterms:created xsi:type="dcterms:W3CDTF">2023-11-08T19:18:00Z</dcterms:created>
  <dcterms:modified xsi:type="dcterms:W3CDTF">2023-11-08T19:18:00Z</dcterms:modified>
</cp:coreProperties>
</file>