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55EB224A" w:rsidR="00E66FFC" w:rsidRDefault="00CB58A9" w:rsidP="00070FC8">
      <w:pPr>
        <w:pStyle w:val="Title"/>
      </w:pPr>
      <w:bookmarkStart w:id="0" w:name="ChapterNumber"/>
      <w:r w:rsidRPr="00217CE9">
        <w:t>Chapter</w:t>
      </w:r>
      <w:r>
        <w:t xml:space="preserve"> </w:t>
      </w:r>
      <w:r w:rsidR="001F1F74">
        <w:t>25</w:t>
      </w:r>
      <w:r w:rsidR="008A481F">
        <w:t>:</w:t>
      </w:r>
      <w:bookmarkEnd w:id="0"/>
    </w:p>
    <w:p w14:paraId="0BD51514" w14:textId="6C224929" w:rsidR="00CB58A9" w:rsidRDefault="00D32FF1" w:rsidP="00217CE9">
      <w:pPr>
        <w:pStyle w:val="Title"/>
      </w:pPr>
      <w:r>
        <w:t>C</w:t>
      </w:r>
      <w:r w:rsidR="001F1F74">
        <w:t>onfidentiality</w:t>
      </w:r>
    </w:p>
    <w:p w14:paraId="23714B2B" w14:textId="703DA2B3" w:rsidR="000B7FAC" w:rsidRDefault="00217CE9" w:rsidP="000B7FAC">
      <w:r w:rsidRPr="00217CE9">
        <w:t xml:space="preserve">Vermont </w:t>
      </w:r>
      <w:r>
        <w:t xml:space="preserve">Division </w:t>
      </w:r>
      <w:r w:rsidR="009B0986">
        <w:t>for the Blind and Visually Impaired</w:t>
      </w:r>
      <w:r>
        <w:br/>
      </w:r>
      <w:r w:rsidR="00A36337">
        <w:t>Policy and</w:t>
      </w:r>
      <w:r w:rsidRPr="00217CE9">
        <w:t xml:space="preserve"> Procedures Manual</w:t>
      </w:r>
    </w:p>
    <w:p w14:paraId="0797AB5C" w14:textId="6095A57D" w:rsidR="000B7FAC" w:rsidRDefault="000B7FAC" w:rsidP="000B7FAC"/>
    <w:p w14:paraId="1D1D83F2" w14:textId="6F17F13F" w:rsidR="000B7FAC" w:rsidRDefault="000B7FAC" w:rsidP="000B7FAC">
      <w:pPr>
        <w:sectPr w:rsidR="000B7FAC" w:rsidSect="00CC6127">
          <w:headerReference w:type="default" r:id="rId8"/>
          <w:footerReference w:type="default" r:id="rId9"/>
          <w:pgSz w:w="12240" w:h="15840"/>
          <w:pgMar w:top="1440" w:right="1440" w:bottom="1440" w:left="1440" w:header="720" w:footer="720" w:gutter="0"/>
          <w:cols w:space="720"/>
          <w:docGrid w:linePitch="360"/>
        </w:sectPr>
      </w:pPr>
      <w:r>
        <w:t xml:space="preserve">Date:  </w:t>
      </w:r>
      <w:r w:rsidR="001F1F74">
        <w:t xml:space="preserve">   </w:t>
      </w:r>
      <w:r w:rsidR="000971D1">
        <w:t>September</w:t>
      </w:r>
      <w:r w:rsidR="001F1F74">
        <w:t xml:space="preserve"> 2022</w:t>
      </w: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77777777" w:rsidR="007D7944" w:rsidRDefault="007D7944">
          <w:pPr>
            <w:pStyle w:val="TOCHeading"/>
          </w:pPr>
          <w:r>
            <w:t>Contents</w:t>
          </w:r>
        </w:p>
        <w:p w14:paraId="57B43F4C" w14:textId="69857B51" w:rsidR="0004426C"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112848473" w:history="1">
            <w:r w:rsidR="0004426C" w:rsidRPr="00876E4A">
              <w:rPr>
                <w:rStyle w:val="Hyperlink"/>
              </w:rPr>
              <w:t>Section I.</w:t>
            </w:r>
            <w:r w:rsidR="0004426C">
              <w:rPr>
                <w:rStyle w:val="Hyperlink"/>
              </w:rPr>
              <w:t xml:space="preserve">    </w:t>
            </w:r>
            <w:r w:rsidR="0004426C" w:rsidRPr="00876E4A">
              <w:rPr>
                <w:rStyle w:val="Hyperlink"/>
              </w:rPr>
              <w:t>Definitions</w:t>
            </w:r>
            <w:r w:rsidR="0004426C">
              <w:rPr>
                <w:webHidden/>
              </w:rPr>
              <w:tab/>
            </w:r>
            <w:r w:rsidR="0004426C">
              <w:rPr>
                <w:webHidden/>
              </w:rPr>
              <w:fldChar w:fldCharType="begin"/>
            </w:r>
            <w:r w:rsidR="0004426C">
              <w:rPr>
                <w:webHidden/>
              </w:rPr>
              <w:instrText xml:space="preserve"> PAGEREF _Toc112848473 \h </w:instrText>
            </w:r>
            <w:r w:rsidR="0004426C">
              <w:rPr>
                <w:webHidden/>
              </w:rPr>
            </w:r>
            <w:r w:rsidR="0004426C">
              <w:rPr>
                <w:webHidden/>
              </w:rPr>
              <w:fldChar w:fldCharType="separate"/>
            </w:r>
            <w:r w:rsidR="0004426C">
              <w:rPr>
                <w:webHidden/>
              </w:rPr>
              <w:t>2</w:t>
            </w:r>
            <w:r w:rsidR="0004426C">
              <w:rPr>
                <w:webHidden/>
              </w:rPr>
              <w:fldChar w:fldCharType="end"/>
            </w:r>
          </w:hyperlink>
        </w:p>
        <w:p w14:paraId="38ED3E32" w14:textId="037DAFE8" w:rsidR="0004426C" w:rsidRDefault="006A40A5">
          <w:pPr>
            <w:pStyle w:val="TOC1"/>
            <w:rPr>
              <w:rFonts w:asciiTheme="minorHAnsi" w:hAnsiTheme="minorHAnsi"/>
              <w:sz w:val="22"/>
              <w:szCs w:val="22"/>
              <w:lang w:eastAsia="en-US"/>
            </w:rPr>
          </w:pPr>
          <w:hyperlink w:anchor="_Toc112848474" w:history="1">
            <w:r w:rsidR="0004426C" w:rsidRPr="00876E4A">
              <w:rPr>
                <w:rStyle w:val="Hyperlink"/>
              </w:rPr>
              <w:t>Section II.</w:t>
            </w:r>
            <w:r w:rsidR="0004426C">
              <w:rPr>
                <w:rStyle w:val="Hyperlink"/>
              </w:rPr>
              <w:t xml:space="preserve">   </w:t>
            </w:r>
            <w:r w:rsidR="0004426C" w:rsidRPr="00876E4A">
              <w:rPr>
                <w:rStyle w:val="Hyperlink"/>
              </w:rPr>
              <w:t>General Policy</w:t>
            </w:r>
            <w:r w:rsidR="0004426C">
              <w:rPr>
                <w:webHidden/>
              </w:rPr>
              <w:tab/>
            </w:r>
            <w:r w:rsidR="0004426C">
              <w:rPr>
                <w:webHidden/>
              </w:rPr>
              <w:fldChar w:fldCharType="begin"/>
            </w:r>
            <w:r w:rsidR="0004426C">
              <w:rPr>
                <w:webHidden/>
              </w:rPr>
              <w:instrText xml:space="preserve"> PAGEREF _Toc112848474 \h </w:instrText>
            </w:r>
            <w:r w:rsidR="0004426C">
              <w:rPr>
                <w:webHidden/>
              </w:rPr>
            </w:r>
            <w:r w:rsidR="0004426C">
              <w:rPr>
                <w:webHidden/>
              </w:rPr>
              <w:fldChar w:fldCharType="separate"/>
            </w:r>
            <w:r w:rsidR="0004426C">
              <w:rPr>
                <w:webHidden/>
              </w:rPr>
              <w:t>2</w:t>
            </w:r>
            <w:r w:rsidR="0004426C">
              <w:rPr>
                <w:webHidden/>
              </w:rPr>
              <w:fldChar w:fldCharType="end"/>
            </w:r>
          </w:hyperlink>
        </w:p>
        <w:p w14:paraId="0077DA1C" w14:textId="09EA4692" w:rsidR="0004426C" w:rsidRDefault="006A40A5">
          <w:pPr>
            <w:pStyle w:val="TOC1"/>
            <w:rPr>
              <w:rFonts w:asciiTheme="minorHAnsi" w:hAnsiTheme="minorHAnsi"/>
              <w:sz w:val="22"/>
              <w:szCs w:val="22"/>
              <w:lang w:eastAsia="en-US"/>
            </w:rPr>
          </w:pPr>
          <w:hyperlink w:anchor="_Toc112848475" w:history="1">
            <w:r w:rsidR="0004426C" w:rsidRPr="00876E4A">
              <w:rPr>
                <w:rStyle w:val="Hyperlink"/>
              </w:rPr>
              <w:t>Section III.  Use of the Case Record</w:t>
            </w:r>
            <w:r w:rsidR="0004426C">
              <w:rPr>
                <w:webHidden/>
              </w:rPr>
              <w:tab/>
            </w:r>
            <w:r w:rsidR="0004426C">
              <w:rPr>
                <w:webHidden/>
              </w:rPr>
              <w:fldChar w:fldCharType="begin"/>
            </w:r>
            <w:r w:rsidR="0004426C">
              <w:rPr>
                <w:webHidden/>
              </w:rPr>
              <w:instrText xml:space="preserve"> PAGEREF _Toc112848475 \h </w:instrText>
            </w:r>
            <w:r w:rsidR="0004426C">
              <w:rPr>
                <w:webHidden/>
              </w:rPr>
            </w:r>
            <w:r w:rsidR="0004426C">
              <w:rPr>
                <w:webHidden/>
              </w:rPr>
              <w:fldChar w:fldCharType="separate"/>
            </w:r>
            <w:r w:rsidR="0004426C">
              <w:rPr>
                <w:webHidden/>
              </w:rPr>
              <w:t>2</w:t>
            </w:r>
            <w:r w:rsidR="0004426C">
              <w:rPr>
                <w:webHidden/>
              </w:rPr>
              <w:fldChar w:fldCharType="end"/>
            </w:r>
          </w:hyperlink>
        </w:p>
        <w:p w14:paraId="10F724C3" w14:textId="341AF641" w:rsidR="0004426C" w:rsidRDefault="006A40A5">
          <w:pPr>
            <w:pStyle w:val="TOC1"/>
            <w:rPr>
              <w:rFonts w:asciiTheme="minorHAnsi" w:hAnsiTheme="minorHAnsi"/>
              <w:sz w:val="22"/>
              <w:szCs w:val="22"/>
              <w:lang w:eastAsia="en-US"/>
            </w:rPr>
          </w:pPr>
          <w:hyperlink w:anchor="_Toc112848476" w:history="1">
            <w:r w:rsidR="0004426C" w:rsidRPr="00876E4A">
              <w:rPr>
                <w:rStyle w:val="Hyperlink"/>
              </w:rPr>
              <w:t>Section IV.  Release Without Written Consent</w:t>
            </w:r>
            <w:r w:rsidR="0004426C">
              <w:rPr>
                <w:webHidden/>
              </w:rPr>
              <w:tab/>
            </w:r>
            <w:r w:rsidR="0004426C">
              <w:rPr>
                <w:webHidden/>
              </w:rPr>
              <w:fldChar w:fldCharType="begin"/>
            </w:r>
            <w:r w:rsidR="0004426C">
              <w:rPr>
                <w:webHidden/>
              </w:rPr>
              <w:instrText xml:space="preserve"> PAGEREF _Toc112848476 \h </w:instrText>
            </w:r>
            <w:r w:rsidR="0004426C">
              <w:rPr>
                <w:webHidden/>
              </w:rPr>
            </w:r>
            <w:r w:rsidR="0004426C">
              <w:rPr>
                <w:webHidden/>
              </w:rPr>
              <w:fldChar w:fldCharType="separate"/>
            </w:r>
            <w:r w:rsidR="0004426C">
              <w:rPr>
                <w:webHidden/>
              </w:rPr>
              <w:t>3</w:t>
            </w:r>
            <w:r w:rsidR="0004426C">
              <w:rPr>
                <w:webHidden/>
              </w:rPr>
              <w:fldChar w:fldCharType="end"/>
            </w:r>
          </w:hyperlink>
        </w:p>
        <w:p w14:paraId="744A1658" w14:textId="0EFD5D48" w:rsidR="0004426C" w:rsidRDefault="006A40A5">
          <w:pPr>
            <w:pStyle w:val="TOC1"/>
            <w:rPr>
              <w:rFonts w:asciiTheme="minorHAnsi" w:hAnsiTheme="minorHAnsi"/>
              <w:sz w:val="22"/>
              <w:szCs w:val="22"/>
              <w:lang w:eastAsia="en-US"/>
            </w:rPr>
          </w:pPr>
          <w:hyperlink w:anchor="_Toc112848477" w:history="1">
            <w:r w:rsidR="0004426C" w:rsidRPr="00876E4A">
              <w:rPr>
                <w:rStyle w:val="Hyperlink"/>
              </w:rPr>
              <w:t xml:space="preserve">Section V.  </w:t>
            </w:r>
            <w:r w:rsidR="000971D1">
              <w:rPr>
                <w:rStyle w:val="Hyperlink"/>
              </w:rPr>
              <w:t xml:space="preserve"> </w:t>
            </w:r>
            <w:r w:rsidR="0004426C" w:rsidRPr="00876E4A">
              <w:rPr>
                <w:rStyle w:val="Hyperlink"/>
              </w:rPr>
              <w:t>Individual’s Access to Records</w:t>
            </w:r>
            <w:r w:rsidR="0004426C">
              <w:rPr>
                <w:webHidden/>
              </w:rPr>
              <w:tab/>
            </w:r>
            <w:r w:rsidR="0004426C">
              <w:rPr>
                <w:webHidden/>
              </w:rPr>
              <w:fldChar w:fldCharType="begin"/>
            </w:r>
            <w:r w:rsidR="0004426C">
              <w:rPr>
                <w:webHidden/>
              </w:rPr>
              <w:instrText xml:space="preserve"> PAGEREF _Toc112848477 \h </w:instrText>
            </w:r>
            <w:r w:rsidR="0004426C">
              <w:rPr>
                <w:webHidden/>
              </w:rPr>
            </w:r>
            <w:r w:rsidR="0004426C">
              <w:rPr>
                <w:webHidden/>
              </w:rPr>
              <w:fldChar w:fldCharType="separate"/>
            </w:r>
            <w:r w:rsidR="0004426C">
              <w:rPr>
                <w:webHidden/>
              </w:rPr>
              <w:t>3</w:t>
            </w:r>
            <w:r w:rsidR="0004426C">
              <w:rPr>
                <w:webHidden/>
              </w:rPr>
              <w:fldChar w:fldCharType="end"/>
            </w:r>
          </w:hyperlink>
        </w:p>
        <w:p w14:paraId="59481A93" w14:textId="238C3668" w:rsidR="0004426C" w:rsidRDefault="006A40A5">
          <w:pPr>
            <w:pStyle w:val="TOC1"/>
            <w:rPr>
              <w:rFonts w:asciiTheme="minorHAnsi" w:hAnsiTheme="minorHAnsi"/>
              <w:sz w:val="22"/>
              <w:szCs w:val="22"/>
              <w:lang w:eastAsia="en-US"/>
            </w:rPr>
          </w:pPr>
          <w:hyperlink w:anchor="_Toc112848478" w:history="1">
            <w:r w:rsidR="0004426C" w:rsidRPr="00876E4A">
              <w:rPr>
                <w:rStyle w:val="Hyperlink"/>
              </w:rPr>
              <w:t>Section VI.  Access to the Record by Others</w:t>
            </w:r>
            <w:r w:rsidR="0004426C">
              <w:rPr>
                <w:webHidden/>
              </w:rPr>
              <w:tab/>
            </w:r>
            <w:r w:rsidR="0004426C">
              <w:rPr>
                <w:webHidden/>
              </w:rPr>
              <w:fldChar w:fldCharType="begin"/>
            </w:r>
            <w:r w:rsidR="0004426C">
              <w:rPr>
                <w:webHidden/>
              </w:rPr>
              <w:instrText xml:space="preserve"> PAGEREF _Toc112848478 \h </w:instrText>
            </w:r>
            <w:r w:rsidR="0004426C">
              <w:rPr>
                <w:webHidden/>
              </w:rPr>
            </w:r>
            <w:r w:rsidR="0004426C">
              <w:rPr>
                <w:webHidden/>
              </w:rPr>
              <w:fldChar w:fldCharType="separate"/>
            </w:r>
            <w:r w:rsidR="0004426C">
              <w:rPr>
                <w:webHidden/>
              </w:rPr>
              <w:t>4</w:t>
            </w:r>
            <w:r w:rsidR="0004426C">
              <w:rPr>
                <w:webHidden/>
              </w:rPr>
              <w:fldChar w:fldCharType="end"/>
            </w:r>
          </w:hyperlink>
        </w:p>
        <w:p w14:paraId="3E307183" w14:textId="39420CC6" w:rsidR="0004426C" w:rsidRDefault="006A40A5">
          <w:pPr>
            <w:pStyle w:val="TOC1"/>
            <w:rPr>
              <w:rFonts w:asciiTheme="minorHAnsi" w:hAnsiTheme="minorHAnsi"/>
              <w:sz w:val="22"/>
              <w:szCs w:val="22"/>
              <w:lang w:eastAsia="en-US"/>
            </w:rPr>
          </w:pPr>
          <w:hyperlink w:anchor="_Toc112848479" w:history="1">
            <w:r w:rsidR="0004426C" w:rsidRPr="00876E4A">
              <w:rPr>
                <w:rStyle w:val="Hyperlink"/>
              </w:rPr>
              <w:t>Section VII.  Subpoena</w:t>
            </w:r>
            <w:r w:rsidR="0004426C">
              <w:rPr>
                <w:webHidden/>
              </w:rPr>
              <w:tab/>
            </w:r>
            <w:r w:rsidR="0004426C">
              <w:rPr>
                <w:webHidden/>
              </w:rPr>
              <w:fldChar w:fldCharType="begin"/>
            </w:r>
            <w:r w:rsidR="0004426C">
              <w:rPr>
                <w:webHidden/>
              </w:rPr>
              <w:instrText xml:space="preserve"> PAGEREF _Toc112848479 \h </w:instrText>
            </w:r>
            <w:r w:rsidR="0004426C">
              <w:rPr>
                <w:webHidden/>
              </w:rPr>
            </w:r>
            <w:r w:rsidR="0004426C">
              <w:rPr>
                <w:webHidden/>
              </w:rPr>
              <w:fldChar w:fldCharType="separate"/>
            </w:r>
            <w:r w:rsidR="0004426C">
              <w:rPr>
                <w:webHidden/>
              </w:rPr>
              <w:t>4</w:t>
            </w:r>
            <w:r w:rsidR="0004426C">
              <w:rPr>
                <w:webHidden/>
              </w:rPr>
              <w:fldChar w:fldCharType="end"/>
            </w:r>
          </w:hyperlink>
        </w:p>
        <w:p w14:paraId="702917FA" w14:textId="637F8EF2"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6360D470" w14:textId="0C69C479" w:rsidR="008473C1" w:rsidRDefault="00882762" w:rsidP="00F36245">
      <w:pPr>
        <w:pStyle w:val="Heading1"/>
        <w:numPr>
          <w:ilvl w:val="0"/>
          <w:numId w:val="0"/>
        </w:numPr>
      </w:pPr>
      <w:bookmarkStart w:id="1" w:name="_Toc112848473"/>
      <w:r>
        <w:lastRenderedPageBreak/>
        <w:t>Section I.</w:t>
      </w:r>
      <w:r>
        <w:tab/>
        <w:t>Definitions</w:t>
      </w:r>
      <w:bookmarkEnd w:id="1"/>
    </w:p>
    <w:p w14:paraId="50A31D10" w14:textId="69CAC628" w:rsidR="008473C1" w:rsidRPr="008473C1" w:rsidRDefault="008473C1" w:rsidP="008473C1">
      <w:pPr>
        <w:pStyle w:val="ListParagraph"/>
        <w:numPr>
          <w:ilvl w:val="0"/>
          <w:numId w:val="32"/>
        </w:numPr>
      </w:pPr>
      <w:r>
        <w:t>“Personal Information” means individual case records; the term includes photographs and lists of names.</w:t>
      </w:r>
    </w:p>
    <w:p w14:paraId="09B61A65" w14:textId="2C375FBE" w:rsidR="00090CCC" w:rsidRDefault="00882762" w:rsidP="00F36245">
      <w:pPr>
        <w:pStyle w:val="Heading1"/>
        <w:numPr>
          <w:ilvl w:val="0"/>
          <w:numId w:val="0"/>
        </w:numPr>
      </w:pPr>
      <w:bookmarkStart w:id="2" w:name="_Toc112848474"/>
      <w:r>
        <w:t>Section II.</w:t>
      </w:r>
      <w:r>
        <w:tab/>
        <w:t>General Policy</w:t>
      </w:r>
      <w:bookmarkEnd w:id="2"/>
    </w:p>
    <w:p w14:paraId="753DDD1A" w14:textId="28F03C12" w:rsidR="006F7C39" w:rsidRDefault="00B756CE" w:rsidP="0044048C">
      <w:pPr>
        <w:pStyle w:val="BodyText"/>
        <w:numPr>
          <w:ilvl w:val="0"/>
          <w:numId w:val="28"/>
        </w:numPr>
        <w:ind w:left="360"/>
      </w:pPr>
      <w:r>
        <w:t>Use of personal information will normally be limited to purposes directly connected with the administration of the vocational rehabilitation process.  Release of persona</w:t>
      </w:r>
      <w:r w:rsidR="000971D1">
        <w:t>l</w:t>
      </w:r>
      <w:r>
        <w:t xml:space="preserve"> information shall comply with provisions of this policy and any Federal or State laws governing the source or type of information requested and/or released.</w:t>
      </w:r>
    </w:p>
    <w:p w14:paraId="5C594BB5" w14:textId="4C0049C5" w:rsidR="00B756CE" w:rsidRDefault="00B756CE" w:rsidP="0044048C">
      <w:pPr>
        <w:pStyle w:val="BodyText"/>
        <w:numPr>
          <w:ilvl w:val="0"/>
          <w:numId w:val="28"/>
        </w:numPr>
        <w:ind w:left="360"/>
      </w:pPr>
      <w:r>
        <w:t>All applicants for services shall be informed of the purpose of DBVI’s request for information, of whether compliance with such request is mandatory, of the possible effects of withholding information, and of situations in which DBVI does not need written consent to release information.</w:t>
      </w:r>
    </w:p>
    <w:p w14:paraId="421ADF16" w14:textId="1C1CD22E" w:rsidR="00B756CE" w:rsidRDefault="00B756CE" w:rsidP="0044048C">
      <w:pPr>
        <w:pStyle w:val="BodyText"/>
        <w:numPr>
          <w:ilvl w:val="0"/>
          <w:numId w:val="28"/>
        </w:numPr>
        <w:ind w:left="360"/>
      </w:pPr>
      <w:r>
        <w:t xml:space="preserve">All </w:t>
      </w:r>
      <w:r w:rsidR="000971D1">
        <w:t>individuals</w:t>
      </w:r>
      <w:r>
        <w:t xml:space="preserve"> seeking services and, as appropriate, service providers and other interested persons shall be informed of the confidentiality of personal information and of the procedures for its release.</w:t>
      </w:r>
    </w:p>
    <w:p w14:paraId="754C80BE" w14:textId="7F24263F" w:rsidR="00B756CE" w:rsidRDefault="000971D1" w:rsidP="0044048C">
      <w:pPr>
        <w:pStyle w:val="BodyText"/>
        <w:numPr>
          <w:ilvl w:val="0"/>
          <w:numId w:val="28"/>
        </w:numPr>
        <w:ind w:left="360"/>
      </w:pPr>
      <w:r>
        <w:t>Individuals</w:t>
      </w:r>
      <w:r w:rsidR="00B756CE">
        <w:t xml:space="preserve"> who are unable to communicate in English or who rely on special modes of communication shall be informed of DBVI’s policy on confidentiality in a manner which assures adequate understanding.</w:t>
      </w:r>
    </w:p>
    <w:p w14:paraId="45664223" w14:textId="45CEE7C6" w:rsidR="00C54D82" w:rsidRDefault="00C54D82" w:rsidP="00C54D82">
      <w:pPr>
        <w:pStyle w:val="Heading1"/>
        <w:numPr>
          <w:ilvl w:val="0"/>
          <w:numId w:val="0"/>
        </w:numPr>
      </w:pPr>
      <w:bookmarkStart w:id="3" w:name="_Toc112848475"/>
      <w:r>
        <w:t>Section III.  Use of the Case Record</w:t>
      </w:r>
      <w:bookmarkEnd w:id="3"/>
    </w:p>
    <w:p w14:paraId="14DCF693" w14:textId="6CB7BFEA" w:rsidR="00C54D82" w:rsidRDefault="00C54D82" w:rsidP="0044048C">
      <w:pPr>
        <w:pStyle w:val="ListParagraph"/>
        <w:numPr>
          <w:ilvl w:val="0"/>
          <w:numId w:val="33"/>
        </w:numPr>
      </w:pPr>
      <w:r>
        <w:t>Only information needed to fulfill the goal of serving the person and meeting administrative or legal obligations shall be collected.  Such information will not be released without prior written consent unless in accordance with Section VI below.</w:t>
      </w:r>
    </w:p>
    <w:p w14:paraId="604A6B5E" w14:textId="77777777" w:rsidR="0044048C" w:rsidRDefault="0044048C" w:rsidP="0044048C">
      <w:pPr>
        <w:pStyle w:val="ListParagraph"/>
      </w:pPr>
    </w:p>
    <w:p w14:paraId="661EF0C3" w14:textId="34D3D800" w:rsidR="00684B8B" w:rsidRDefault="00684B8B" w:rsidP="0044048C">
      <w:pPr>
        <w:pStyle w:val="ListParagraph"/>
        <w:numPr>
          <w:ilvl w:val="0"/>
          <w:numId w:val="33"/>
        </w:numPr>
      </w:pPr>
      <w:r>
        <w:t>Personal information can be used only for the following purposes:</w:t>
      </w:r>
    </w:p>
    <w:p w14:paraId="3E124361" w14:textId="1EA8044B" w:rsidR="00684B8B" w:rsidRDefault="00684B8B" w:rsidP="0044048C">
      <w:pPr>
        <w:pStyle w:val="ListParagraph"/>
        <w:numPr>
          <w:ilvl w:val="0"/>
          <w:numId w:val="31"/>
        </w:numPr>
      </w:pPr>
      <w:r>
        <w:t>Assessing vocational potential;</w:t>
      </w:r>
    </w:p>
    <w:p w14:paraId="2EB96A1E" w14:textId="4EFEA3B3" w:rsidR="00684B8B" w:rsidRDefault="00684B8B" w:rsidP="0044048C">
      <w:pPr>
        <w:pStyle w:val="ListParagraph"/>
        <w:numPr>
          <w:ilvl w:val="0"/>
          <w:numId w:val="31"/>
        </w:numPr>
      </w:pPr>
      <w:r>
        <w:t>Determining eligibility or ineligibility;</w:t>
      </w:r>
    </w:p>
    <w:p w14:paraId="19DAE598" w14:textId="29EB40D6" w:rsidR="00684B8B" w:rsidRDefault="00684B8B" w:rsidP="0044048C">
      <w:pPr>
        <w:pStyle w:val="ListParagraph"/>
        <w:numPr>
          <w:ilvl w:val="0"/>
          <w:numId w:val="31"/>
        </w:numPr>
      </w:pPr>
      <w:r>
        <w:t>Developing and implementing the Individualized Plan for Employment;</w:t>
      </w:r>
    </w:p>
    <w:p w14:paraId="4123207E" w14:textId="0BE6B390" w:rsidR="00684B8B" w:rsidRDefault="00684B8B" w:rsidP="0044048C">
      <w:pPr>
        <w:pStyle w:val="ListParagraph"/>
        <w:numPr>
          <w:ilvl w:val="0"/>
          <w:numId w:val="31"/>
        </w:numPr>
      </w:pPr>
      <w:r>
        <w:t>Processing and delivering specific services;</w:t>
      </w:r>
    </w:p>
    <w:p w14:paraId="2C8357B5" w14:textId="2351C57E" w:rsidR="00684B8B" w:rsidRDefault="00684B8B" w:rsidP="0044048C">
      <w:pPr>
        <w:pStyle w:val="ListParagraph"/>
        <w:numPr>
          <w:ilvl w:val="0"/>
          <w:numId w:val="31"/>
        </w:numPr>
      </w:pPr>
      <w:r>
        <w:t xml:space="preserve">Evaluating </w:t>
      </w:r>
      <w:r w:rsidR="00702EC6">
        <w:t>progress</w:t>
      </w:r>
      <w:r>
        <w:t xml:space="preserve"> and the results of services;</w:t>
      </w:r>
    </w:p>
    <w:p w14:paraId="2616C01F" w14:textId="75B979DE" w:rsidR="00684B8B" w:rsidRDefault="00684B8B" w:rsidP="0044048C">
      <w:pPr>
        <w:pStyle w:val="ListParagraph"/>
        <w:numPr>
          <w:ilvl w:val="0"/>
          <w:numId w:val="31"/>
        </w:numPr>
      </w:pPr>
      <w:r>
        <w:t>Determining appropriate referrals to other benefit or services programs with the consent of the individual;</w:t>
      </w:r>
    </w:p>
    <w:p w14:paraId="67852864" w14:textId="460AC73A" w:rsidR="00684B8B" w:rsidRDefault="00684B8B" w:rsidP="0044048C">
      <w:pPr>
        <w:pStyle w:val="ListParagraph"/>
        <w:numPr>
          <w:ilvl w:val="0"/>
          <w:numId w:val="31"/>
        </w:numPr>
      </w:pPr>
      <w:r>
        <w:t>Counselor or program evaluation, accountability, and supervision;</w:t>
      </w:r>
    </w:p>
    <w:p w14:paraId="2689D7DC" w14:textId="6BDB8135" w:rsidR="00684B8B" w:rsidRDefault="00684B8B" w:rsidP="0044048C">
      <w:pPr>
        <w:pStyle w:val="ListParagraph"/>
        <w:numPr>
          <w:ilvl w:val="0"/>
          <w:numId w:val="31"/>
        </w:numPr>
      </w:pPr>
      <w:r>
        <w:t>Statistical reporting;</w:t>
      </w:r>
    </w:p>
    <w:p w14:paraId="5EF8C4CA" w14:textId="52B96EED" w:rsidR="00684B8B" w:rsidRDefault="00684B8B" w:rsidP="0044048C">
      <w:pPr>
        <w:pStyle w:val="ListParagraph"/>
        <w:numPr>
          <w:ilvl w:val="0"/>
          <w:numId w:val="31"/>
        </w:numPr>
      </w:pPr>
      <w:r>
        <w:t>Program related research which does not reveal the identity of the individual;</w:t>
      </w:r>
    </w:p>
    <w:p w14:paraId="2EE16279" w14:textId="325B96D1" w:rsidR="00684B8B" w:rsidRDefault="00684B8B" w:rsidP="0044048C">
      <w:pPr>
        <w:pStyle w:val="ListParagraph"/>
        <w:numPr>
          <w:ilvl w:val="0"/>
          <w:numId w:val="31"/>
        </w:numPr>
      </w:pPr>
      <w:r>
        <w:t>Staff training</w:t>
      </w:r>
      <w:r w:rsidR="000971D1">
        <w:t xml:space="preserve"> </w:t>
      </w:r>
      <w:r>
        <w:t>if the individual’s identification is removed from the material.</w:t>
      </w:r>
    </w:p>
    <w:p w14:paraId="55EDBA0B" w14:textId="77777777" w:rsidR="0044048C" w:rsidRDefault="0044048C" w:rsidP="0044048C">
      <w:pPr>
        <w:pStyle w:val="ListParagraph"/>
        <w:ind w:left="1080"/>
      </w:pPr>
    </w:p>
    <w:p w14:paraId="0DFDEB47" w14:textId="5A1CCF8A" w:rsidR="00684B8B" w:rsidRDefault="00684B8B" w:rsidP="0044048C">
      <w:pPr>
        <w:pStyle w:val="ListParagraph"/>
        <w:numPr>
          <w:ilvl w:val="0"/>
          <w:numId w:val="33"/>
        </w:numPr>
      </w:pPr>
      <w:r>
        <w:t xml:space="preserve">The fact that an individual has a criminal record does not create an exception to the rule that makes records confidential.  DBVI may not disclose any information about the client’s criminal record to any employer without specific written permission from </w:t>
      </w:r>
      <w:r>
        <w:lastRenderedPageBreak/>
        <w:t>the client.  This restriction is in force even when the DBVI staff member discovers that the client has not disclosed pertinent information to a potential employer.</w:t>
      </w:r>
    </w:p>
    <w:p w14:paraId="1E52BF3F" w14:textId="1C027756" w:rsidR="00684B8B" w:rsidRDefault="0051217D" w:rsidP="0051217D">
      <w:pPr>
        <w:pStyle w:val="Heading1"/>
        <w:numPr>
          <w:ilvl w:val="0"/>
          <w:numId w:val="0"/>
        </w:numPr>
      </w:pPr>
      <w:bookmarkStart w:id="4" w:name="_Toc112848476"/>
      <w:r>
        <w:t>Section IV.  Release Without Written Consent</w:t>
      </w:r>
      <w:bookmarkEnd w:id="4"/>
    </w:p>
    <w:p w14:paraId="4E925286" w14:textId="77777777" w:rsidR="00621401" w:rsidRDefault="0051217D" w:rsidP="0051217D">
      <w:pPr>
        <w:pStyle w:val="ListParagraph"/>
        <w:numPr>
          <w:ilvl w:val="0"/>
          <w:numId w:val="34"/>
        </w:numPr>
      </w:pPr>
      <w:r>
        <w:t>Access</w:t>
      </w:r>
      <w:r w:rsidR="006E23D2">
        <w:t xml:space="preserve"> to the case record without the informed consent of the individual is normally limited to those persons directly involved in the administration of the program and for uses listed in Section III above.  However, DBVI must release sufficient information to comply with mandatory reporting requirements for cases involving the abuse, neglect, or exploitation of children and persons who are elderly or who have disabilities.  Information must be released without consent when Vermont law creates a duty to warn identified </w:t>
      </w:r>
      <w:r w:rsidR="00621401">
        <w:t>individuals of potential harm to their person or property, in response to court orders, or to investigate or report criminal activity as required by Federal or State laws or regulations.  Only information relevant to the situation shall be disclosed.  The date, purpose, and content of the report, and the name, address and affiliation of the person to whom the information was released shall be documented in the record; the individual shall be notified that the information was disclosed.</w:t>
      </w:r>
    </w:p>
    <w:p w14:paraId="25A8E341" w14:textId="4ECF0108" w:rsidR="0051217D" w:rsidRDefault="001C2E2F" w:rsidP="0051217D">
      <w:pPr>
        <w:pStyle w:val="ListParagraph"/>
        <w:numPr>
          <w:ilvl w:val="0"/>
          <w:numId w:val="34"/>
        </w:numPr>
      </w:pPr>
      <w:r>
        <w:t>Vermont law requires DBVI employees, contractors, and grantees who know of, have received information of, or have reason to suspect abuse, neglect, or exploitation of a DBVI client, to report that information to Adult Protective Services (800-564-1612).  Anyone who makes a “good faith” report is immune from any liability for making the report.</w:t>
      </w:r>
      <w:r w:rsidR="00621401">
        <w:t xml:space="preserve"> </w:t>
      </w:r>
    </w:p>
    <w:p w14:paraId="76676E2A" w14:textId="7D333721" w:rsidR="0044048C" w:rsidRDefault="00A11B03" w:rsidP="0051217D">
      <w:pPr>
        <w:pStyle w:val="ListParagraph"/>
        <w:numPr>
          <w:ilvl w:val="0"/>
          <w:numId w:val="34"/>
        </w:numPr>
      </w:pPr>
      <w:r>
        <w:t>When a client makes a threat to harm a specific person, group of people, or specific property, DBVI has a duty to report that threat to the threatened person(s) or property owner.  DBVI may also release pertinent information to appropriate personnel/organizations to protect any client who poses a threat to him/herself.  Before taking any action, staff will consult with the Director and/or the department’s legal staff.</w:t>
      </w:r>
    </w:p>
    <w:p w14:paraId="30D6E7F2" w14:textId="523701EA" w:rsidR="00A11B03" w:rsidRDefault="00A11B03" w:rsidP="00A11B03">
      <w:pPr>
        <w:pStyle w:val="Heading1"/>
        <w:numPr>
          <w:ilvl w:val="0"/>
          <w:numId w:val="0"/>
        </w:numPr>
      </w:pPr>
      <w:bookmarkStart w:id="5" w:name="_Toc112848477"/>
      <w:r>
        <w:t>Section V.  Individual’s Access to Records</w:t>
      </w:r>
      <w:bookmarkEnd w:id="5"/>
    </w:p>
    <w:p w14:paraId="603BEB2F" w14:textId="304790D1" w:rsidR="00A11B03" w:rsidRDefault="00A11B03" w:rsidP="00A11B03">
      <w:pPr>
        <w:pStyle w:val="ListParagraph"/>
        <w:numPr>
          <w:ilvl w:val="0"/>
          <w:numId w:val="36"/>
        </w:numPr>
      </w:pPr>
      <w:r>
        <w:t xml:space="preserve">A counselor must review everything in a file before making it available or sending it to the client.  </w:t>
      </w:r>
      <w:r w:rsidR="000E6242">
        <w:t>Depending upon the nature of the information, the counselor may need to edit records and/or consult with medica</w:t>
      </w:r>
      <w:r w:rsidR="001540C9">
        <w:t>l</w:t>
      </w:r>
      <w:r w:rsidR="000E6242">
        <w:t xml:space="preserve">/psychological personnel before releasing any information.  Consequently, it is not unreasonable to take up to five (5) </w:t>
      </w:r>
      <w:r w:rsidR="0064159C">
        <w:t>workdays</w:t>
      </w:r>
      <w:r w:rsidR="000E6242">
        <w:t xml:space="preserve"> from receipt of a request for records to actually making the records available.  DBVI’s goal is to provide the records as quickly as possible while ensuring confidentiality and ensuring that potentially harmful information is not inappropriately shared with a client.</w:t>
      </w:r>
    </w:p>
    <w:p w14:paraId="62C73011" w14:textId="54F7D161" w:rsidR="000E6242" w:rsidRDefault="000E6242" w:rsidP="00A11B03">
      <w:pPr>
        <w:pStyle w:val="ListParagraph"/>
        <w:numPr>
          <w:ilvl w:val="0"/>
          <w:numId w:val="36"/>
        </w:numPr>
      </w:pPr>
      <w:r>
        <w:t>A</w:t>
      </w:r>
      <w:r w:rsidR="001540C9">
        <w:t>n individual</w:t>
      </w:r>
      <w:r>
        <w:t xml:space="preserve"> seeking services will have timely access to </w:t>
      </w:r>
      <w:r w:rsidR="001540C9">
        <w:t>their</w:t>
      </w:r>
      <w:r>
        <w:t xml:space="preserve"> record of service subject to the following provisions:</w:t>
      </w:r>
    </w:p>
    <w:p w14:paraId="7576DE09" w14:textId="6ABD0550" w:rsidR="000E6242" w:rsidRDefault="000E6242" w:rsidP="000E6242">
      <w:pPr>
        <w:pStyle w:val="ListParagraph"/>
        <w:numPr>
          <w:ilvl w:val="0"/>
          <w:numId w:val="40"/>
        </w:numPr>
      </w:pPr>
      <w:r>
        <w:t>A written request is submitted by the individual.</w:t>
      </w:r>
      <w:r w:rsidR="009215F4">
        <w:t xml:space="preserve">  </w:t>
      </w:r>
      <w:r>
        <w:t>The request should include name, address, and telephone number of the person, the date, and if possible, the specific information of interest.</w:t>
      </w:r>
    </w:p>
    <w:p w14:paraId="2E7E3A06" w14:textId="3EB92952" w:rsidR="000E6242" w:rsidRDefault="000E6242" w:rsidP="000E6242">
      <w:pPr>
        <w:pStyle w:val="ListParagraph"/>
        <w:numPr>
          <w:ilvl w:val="0"/>
          <w:numId w:val="40"/>
        </w:numPr>
      </w:pPr>
      <w:r>
        <w:t>If information has been obtained from another agency or organization, it may be released only by, or under the conditions established by, the other agency or organization.  Information secured by another source for a purpose other than DBVI’s</w:t>
      </w:r>
      <w:r w:rsidR="00690014">
        <w:t xml:space="preserve"> will not be released; </w:t>
      </w:r>
      <w:r w:rsidR="0064159C">
        <w:t>instead,</w:t>
      </w:r>
      <w:r w:rsidR="00690014">
        <w:t xml:space="preserve"> the person will be referred back to the source.  It is not necessary to obtain permission from service providers to release information which was arranged for or purchased by DBVI for its own purposes. </w:t>
      </w:r>
    </w:p>
    <w:p w14:paraId="21BFB6E2" w14:textId="328CACBC" w:rsidR="00690014" w:rsidRDefault="004052E8" w:rsidP="000E6242">
      <w:pPr>
        <w:pStyle w:val="ListParagraph"/>
        <w:numPr>
          <w:ilvl w:val="0"/>
          <w:numId w:val="40"/>
        </w:numPr>
      </w:pPr>
      <w:r>
        <w:t>Potentially harmful or sensitive information will be reviewed by the counselor with input of a medical/psychological consultant, if necessary.</w:t>
      </w:r>
    </w:p>
    <w:p w14:paraId="6E62566E" w14:textId="6AA615AB" w:rsidR="004052E8" w:rsidRDefault="004052E8" w:rsidP="000E6242">
      <w:pPr>
        <w:pStyle w:val="ListParagraph"/>
        <w:numPr>
          <w:ilvl w:val="0"/>
          <w:numId w:val="40"/>
        </w:numPr>
      </w:pPr>
      <w:r>
        <w:t xml:space="preserve">Information considered to be potentially harmful may not be provided directly to the individual but must be provided through a third party chosen by the </w:t>
      </w:r>
      <w:r w:rsidR="009215F4">
        <w:t>individual</w:t>
      </w:r>
      <w:r>
        <w:t>, which may include, among others, an advocate, a family member, or a qualified medical or mental health professional, unless a representative has been appointed by a court to represent the individual, in which case the information must be released to the court-appointed representative.</w:t>
      </w:r>
    </w:p>
    <w:p w14:paraId="38469C4B" w14:textId="02541A6A" w:rsidR="004052E8" w:rsidRDefault="004052E8" w:rsidP="000E6242">
      <w:pPr>
        <w:pStyle w:val="ListParagraph"/>
        <w:numPr>
          <w:ilvl w:val="0"/>
          <w:numId w:val="40"/>
        </w:numPr>
      </w:pPr>
      <w:r>
        <w:t xml:space="preserve">With regard to potentially harmful information in which medical or psychological consultation is sought, the consultant should provide DBVI with a written opinion and the reasons for the opinion and with suggested conditions under which the </w:t>
      </w:r>
      <w:r w:rsidR="009215F4">
        <w:t>individual</w:t>
      </w:r>
      <w:r>
        <w:t xml:space="preserve"> may review the information, as applicable.</w:t>
      </w:r>
    </w:p>
    <w:p w14:paraId="6623C5FD" w14:textId="585C3526" w:rsidR="008A61DE" w:rsidRDefault="008A61DE" w:rsidP="000E6242">
      <w:pPr>
        <w:pStyle w:val="ListParagraph"/>
        <w:numPr>
          <w:ilvl w:val="0"/>
          <w:numId w:val="40"/>
        </w:numPr>
      </w:pPr>
      <w:r>
        <w:t>Because of financial audit requirements, an individual’s case record may include a bill listing several service recipients who participated in</w:t>
      </w:r>
      <w:r w:rsidR="00BB3568">
        <w:t xml:space="preserve"> </w:t>
      </w:r>
      <w:r>
        <w:t xml:space="preserve">a group activity </w:t>
      </w:r>
      <w:r w:rsidR="009215F4">
        <w:t>(i.e. LEAP, VABIR)</w:t>
      </w:r>
      <w:r w:rsidR="00BB3568">
        <w:t>.  This list of all names must be either redacted except for the individual’s or the bill must be removed from the file before allowing the individual access to their case record.  If the information is removed, the individual must be informed of this action.</w:t>
      </w:r>
    </w:p>
    <w:p w14:paraId="25A0EC4A" w14:textId="4F972071" w:rsidR="00BB3568" w:rsidRDefault="00BB3568" w:rsidP="00BB3568">
      <w:pPr>
        <w:pStyle w:val="Heading1"/>
        <w:numPr>
          <w:ilvl w:val="0"/>
          <w:numId w:val="0"/>
        </w:numPr>
      </w:pPr>
      <w:bookmarkStart w:id="6" w:name="_Toc112848478"/>
      <w:r>
        <w:t>Section VI.  Access to the Record by Others</w:t>
      </w:r>
      <w:bookmarkEnd w:id="6"/>
    </w:p>
    <w:p w14:paraId="73C46810" w14:textId="392ACE94" w:rsidR="00BB3568" w:rsidRDefault="00BB3568" w:rsidP="00BB3568">
      <w:pPr>
        <w:pStyle w:val="ListParagraph"/>
        <w:numPr>
          <w:ilvl w:val="0"/>
          <w:numId w:val="41"/>
        </w:numPr>
      </w:pPr>
      <w:r>
        <w:t>No individuals, agencies or organizations not included in or related to Section III or IV of this policy may have access to any information in the case record without the informed written consent of the individual.  Release forms must be specific with respect to which records/information may be disclosed.  However, the records of minors may be disclosed by granting, in the same manner as the individual’s access (Section V), a parent, guardian, or legal representative of a min</w:t>
      </w:r>
      <w:r w:rsidR="00027CDC">
        <w:t>or direct access to their medical or psychological records, if those records are arranged for and purchased by DBVI.</w:t>
      </w:r>
    </w:p>
    <w:p w14:paraId="3A43C567" w14:textId="2BEF4294" w:rsidR="00027CDC" w:rsidRDefault="00027CDC" w:rsidP="00BB3568">
      <w:pPr>
        <w:pStyle w:val="ListParagraph"/>
        <w:numPr>
          <w:ilvl w:val="0"/>
          <w:numId w:val="41"/>
        </w:numPr>
      </w:pPr>
      <w:r>
        <w:t>If the information was originally secured by another source for a different purpose, the information will not be released; the request will be referred back to the source.</w:t>
      </w:r>
    </w:p>
    <w:p w14:paraId="7069ADFF" w14:textId="36292221" w:rsidR="00027CDC" w:rsidRDefault="00027CDC" w:rsidP="00027CDC">
      <w:pPr>
        <w:pStyle w:val="ListParagraph"/>
        <w:numPr>
          <w:ilvl w:val="0"/>
          <w:numId w:val="41"/>
        </w:numPr>
      </w:pPr>
      <w:r>
        <w:t>Potentially harmful medical/psychological information released to the individual’s attorney or other advocate must be accompanied by a letter which full</w:t>
      </w:r>
      <w:r w:rsidR="003A6934">
        <w:t>y</w:t>
      </w:r>
      <w:r>
        <w:t xml:space="preserve"> explains the sensitive nature of the information.</w:t>
      </w:r>
    </w:p>
    <w:p w14:paraId="7C27AC99" w14:textId="70C83B68" w:rsidR="00027CDC" w:rsidRDefault="00027CDC" w:rsidP="00027CDC">
      <w:pPr>
        <w:pStyle w:val="Heading1"/>
        <w:numPr>
          <w:ilvl w:val="0"/>
          <w:numId w:val="0"/>
        </w:numPr>
      </w:pPr>
      <w:bookmarkStart w:id="7" w:name="_Toc112848479"/>
      <w:r>
        <w:t>Section VII.  Subpoena</w:t>
      </w:r>
      <w:bookmarkEnd w:id="7"/>
    </w:p>
    <w:p w14:paraId="4C9BF792" w14:textId="206EBC0A" w:rsidR="00027CDC" w:rsidRDefault="00027CDC" w:rsidP="00027CDC">
      <w:pPr>
        <w:pStyle w:val="ListParagraph"/>
        <w:numPr>
          <w:ilvl w:val="0"/>
          <w:numId w:val="42"/>
        </w:numPr>
      </w:pPr>
      <w:r>
        <w:t>A subpoena is required for an employee to testify in court proceedings.  If a subpoena required bringing a case record, the individual’s written release or a specific written order from the court is required.  Records secured by a different agency for another purpose will not be released even under order of a subpoena.</w:t>
      </w:r>
    </w:p>
    <w:p w14:paraId="19F167C4" w14:textId="41987EEC" w:rsidR="00027CDC" w:rsidRDefault="00027CDC" w:rsidP="00027CDC">
      <w:pPr>
        <w:pStyle w:val="ListParagraph"/>
        <w:numPr>
          <w:ilvl w:val="0"/>
          <w:numId w:val="42"/>
        </w:numPr>
      </w:pPr>
      <w:r>
        <w:t>Any time a DBVI employee receives a subpoena, they shall discuss it with the Department’s attorney.</w:t>
      </w:r>
    </w:p>
    <w:p w14:paraId="124A0226" w14:textId="41671F66" w:rsidR="00027CDC" w:rsidRDefault="00027CDC" w:rsidP="00027CDC">
      <w:pPr>
        <w:pStyle w:val="ListParagraph"/>
        <w:numPr>
          <w:ilvl w:val="0"/>
          <w:numId w:val="42"/>
        </w:numPr>
      </w:pPr>
      <w:r>
        <w:t xml:space="preserve">A DBVI employee may testify with being subpoenaed at formal administrative </w:t>
      </w:r>
      <w:r w:rsidR="00070EAA">
        <w:t>hearings</w:t>
      </w:r>
      <w:r>
        <w:t xml:space="preserve"> if, in the </w:t>
      </w:r>
      <w:r w:rsidR="007451D8">
        <w:t>Director</w:t>
      </w:r>
      <w:r>
        <w:t xml:space="preserve">’s judgment, the testimony will be in the individual’s </w:t>
      </w:r>
      <w:r w:rsidR="00070EAA">
        <w:t>best interest.  Such testimony will normally be limited to hearings involving the procurement of continuation of comparable services or benefits such as Social Security Disability Insurance, Medicaid, or Workers’ Compensation.</w:t>
      </w:r>
    </w:p>
    <w:p w14:paraId="1E824FCD" w14:textId="15E3C8DF" w:rsidR="00070EAA" w:rsidRDefault="00070EAA" w:rsidP="00027CDC">
      <w:pPr>
        <w:pStyle w:val="ListParagraph"/>
        <w:numPr>
          <w:ilvl w:val="0"/>
          <w:numId w:val="42"/>
        </w:numPr>
      </w:pPr>
      <w:r>
        <w:t>A DBVI employee receiving a subpoena or a request for a deposition must immediately notify the</w:t>
      </w:r>
      <w:r w:rsidR="007451D8">
        <w:t xml:space="preserve"> Director </w:t>
      </w:r>
      <w:r>
        <w:t>and subsequently DBVI’s counsel with whom they should discuss any questions regarding pending testimony.  If a subpoena is served with due notice (e.g. only two days before the court procedure) and would cause substantial inconvenience to the employee, clientele, or co-workers, DBVI’s counsel or the employee may ask the issuing authority for a delay.</w:t>
      </w:r>
    </w:p>
    <w:p w14:paraId="52374E7C" w14:textId="486C236C" w:rsidR="00070EAA" w:rsidRDefault="00070EAA" w:rsidP="00027CDC">
      <w:pPr>
        <w:pStyle w:val="ListParagraph"/>
        <w:numPr>
          <w:ilvl w:val="0"/>
          <w:numId w:val="42"/>
        </w:numPr>
      </w:pPr>
      <w:r>
        <w:t>If the case record is legitimately requested, the record may end up in the hands of others for an indeterminate period.  Consequently, bringing a copy of it rather than the original is advised.</w:t>
      </w:r>
    </w:p>
    <w:p w14:paraId="7797C0AB" w14:textId="1A135917" w:rsidR="00070EAA" w:rsidRPr="00027CDC" w:rsidRDefault="00070EAA" w:rsidP="00027CDC">
      <w:pPr>
        <w:pStyle w:val="ListParagraph"/>
        <w:numPr>
          <w:ilvl w:val="0"/>
          <w:numId w:val="42"/>
        </w:numPr>
      </w:pPr>
      <w:r>
        <w:t>As for administrative hearings without subpoena, the counselor, in making their judgment, should review the record and discuss the individual’s circumstances with the employee and/or appropriate others.  If testimony could be damaging to the counselor-client relationship, a subpoena should be required.</w:t>
      </w:r>
    </w:p>
    <w:sectPr w:rsidR="00070EAA" w:rsidRPr="00027CDC"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1A99D345" w:rsidR="00BE3882" w:rsidRDefault="006A40A5" w:rsidP="00E66FFC">
    <w:pPr>
      <w:pStyle w:val="Header"/>
    </w:pPr>
    <w:r>
      <w:fldChar w:fldCharType="begin"/>
    </w:r>
    <w:r>
      <w:instrText xml:space="preserve"> REF  ChapterNumber  \* MERGEFORMAT </w:instrText>
    </w:r>
    <w:r>
      <w:fldChar w:fldCharType="separate"/>
    </w:r>
    <w:r w:rsidR="00757698" w:rsidRPr="00217CE9">
      <w:t>Chapter</w:t>
    </w:r>
    <w:r w:rsidR="00D32FF1">
      <w:t xml:space="preserve"> </w:t>
    </w:r>
    <w:r w:rsidR="008473C1">
      <w:t>25</w:t>
    </w:r>
    <w:r w:rsidR="00757698">
      <w:t>:</w:t>
    </w:r>
    <w:r>
      <w:fldChar w:fldCharType="end"/>
    </w:r>
    <w:r w:rsidR="00BE3882">
      <w:t xml:space="preserve"> </w:t>
    </w:r>
    <w:r w:rsidR="008473C1">
      <w:t>Confidentiality</w:t>
    </w:r>
  </w:p>
  <w:p w14:paraId="3BAE870B" w14:textId="06D75C52" w:rsidR="00BE3882" w:rsidRPr="00D155D2" w:rsidRDefault="008473C1" w:rsidP="00BC5122">
    <w:pPr>
      <w:pStyle w:val="Header"/>
      <w:rPr>
        <w:rStyle w:val="Emphasis"/>
        <w:rFonts w:ascii="Franklin Gothic Book" w:hAnsi="Franklin Gothic Book"/>
        <w:iCs w:val="0"/>
        <w:color w:val="auto"/>
        <w:sz w:val="20"/>
        <w:szCs w:val="20"/>
      </w:rPr>
    </w:pPr>
    <w:r>
      <w:rPr>
        <w:rStyle w:val="Emphasis"/>
        <w:rFonts w:ascii="Franklin Gothic Book" w:hAnsi="Franklin Gothic Book"/>
        <w:iCs w:val="0"/>
        <w:color w:val="auto"/>
        <w:sz w:val="20"/>
        <w:szCs w:val="20"/>
      </w:rPr>
      <w:t>Added</w:t>
    </w:r>
    <w:r w:rsidR="00BE3882" w:rsidRPr="00D155D2">
      <w:rPr>
        <w:rStyle w:val="Emphasis"/>
        <w:rFonts w:ascii="Franklin Gothic Book" w:hAnsi="Franklin Gothic Book"/>
        <w:iCs w:val="0"/>
        <w:color w:val="auto"/>
        <w:sz w:val="20"/>
        <w:szCs w:val="20"/>
      </w:rPr>
      <w:t xml:space="preserve">: </w:t>
    </w:r>
    <w:r w:rsidR="00BE3882" w:rsidRPr="00D155D2">
      <w:rPr>
        <w:sz w:val="20"/>
        <w:szCs w:val="20"/>
      </w:rPr>
      <w:t xml:space="preserve"> </w:t>
    </w:r>
    <w:r w:rsidR="000971D1">
      <w:t xml:space="preserve">September </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7724019"/>
    <w:multiLevelType w:val="hybridMultilevel"/>
    <w:tmpl w:val="EF10FCC6"/>
    <w:lvl w:ilvl="0" w:tplc="4D202C1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F528B8"/>
    <w:multiLevelType w:val="hybridMultilevel"/>
    <w:tmpl w:val="AA42584A"/>
    <w:lvl w:ilvl="0" w:tplc="ED241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45CCC"/>
    <w:multiLevelType w:val="hybridMultilevel"/>
    <w:tmpl w:val="3F5637C4"/>
    <w:lvl w:ilvl="0" w:tplc="AB6CB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180668"/>
    <w:multiLevelType w:val="hybridMultilevel"/>
    <w:tmpl w:val="20D4E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17EBC"/>
    <w:multiLevelType w:val="hybridMultilevel"/>
    <w:tmpl w:val="148EC9EA"/>
    <w:lvl w:ilvl="0" w:tplc="DB40CF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B31E5"/>
    <w:multiLevelType w:val="hybridMultilevel"/>
    <w:tmpl w:val="D744D1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71A3E"/>
    <w:multiLevelType w:val="hybridMultilevel"/>
    <w:tmpl w:val="A4409FB8"/>
    <w:lvl w:ilvl="0" w:tplc="B5BC9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342AB1"/>
    <w:multiLevelType w:val="hybridMultilevel"/>
    <w:tmpl w:val="1EF62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C77FA"/>
    <w:multiLevelType w:val="hybridMultilevel"/>
    <w:tmpl w:val="109463E4"/>
    <w:lvl w:ilvl="0" w:tplc="ADAC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4327B5"/>
    <w:multiLevelType w:val="hybridMultilevel"/>
    <w:tmpl w:val="370056CE"/>
    <w:lvl w:ilvl="0" w:tplc="995874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D53BA"/>
    <w:multiLevelType w:val="hybridMultilevel"/>
    <w:tmpl w:val="A7AE3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32B5F"/>
    <w:multiLevelType w:val="hybridMultilevel"/>
    <w:tmpl w:val="2918E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2D2F17EC"/>
    <w:multiLevelType w:val="hybridMultilevel"/>
    <w:tmpl w:val="F668BC98"/>
    <w:lvl w:ilvl="0" w:tplc="452055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4159C"/>
    <w:multiLevelType w:val="multilevel"/>
    <w:tmpl w:val="6A6AEF8C"/>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2" w15:restartNumberingAfterBreak="0">
    <w:nsid w:val="39FE0B0B"/>
    <w:multiLevelType w:val="hybridMultilevel"/>
    <w:tmpl w:val="7B70F666"/>
    <w:lvl w:ilvl="0" w:tplc="C164C9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80DE2"/>
    <w:multiLevelType w:val="multilevel"/>
    <w:tmpl w:val="58E6F87E"/>
    <w:numStyleLink w:val="PolicyList"/>
  </w:abstractNum>
  <w:abstractNum w:abstractNumId="24"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7" w15:restartNumberingAfterBreak="0">
    <w:nsid w:val="4F0D5B05"/>
    <w:multiLevelType w:val="multilevel"/>
    <w:tmpl w:val="157C82DE"/>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8"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EB3836"/>
    <w:multiLevelType w:val="hybridMultilevel"/>
    <w:tmpl w:val="F3C67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860AB"/>
    <w:multiLevelType w:val="hybridMultilevel"/>
    <w:tmpl w:val="D1E4B9D2"/>
    <w:lvl w:ilvl="0" w:tplc="BE8215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265996"/>
    <w:multiLevelType w:val="hybridMultilevel"/>
    <w:tmpl w:val="DABAA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50A58"/>
    <w:multiLevelType w:val="hybridMultilevel"/>
    <w:tmpl w:val="23BAE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057FE"/>
    <w:multiLevelType w:val="hybridMultilevel"/>
    <w:tmpl w:val="DD64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BC69E8"/>
    <w:multiLevelType w:val="hybridMultilevel"/>
    <w:tmpl w:val="6C1277E8"/>
    <w:lvl w:ilvl="0" w:tplc="5582D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8" w15:restartNumberingAfterBreak="0">
    <w:nsid w:val="724C2FCE"/>
    <w:multiLevelType w:val="hybridMultilevel"/>
    <w:tmpl w:val="7D7A2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F1140"/>
    <w:multiLevelType w:val="hybridMultilevel"/>
    <w:tmpl w:val="71C409D6"/>
    <w:lvl w:ilvl="0" w:tplc="AC06F9D0">
      <w:start w:val="1"/>
      <w:numFmt w:val="decimal"/>
      <w:lvlText w:val="%1."/>
      <w:lvlJc w:val="left"/>
      <w:pPr>
        <w:ind w:left="720" w:hanging="360"/>
      </w:pPr>
      <w:rPr>
        <w:rFonts w:ascii="Franklin Gothic Book" w:hAnsi="Franklin Gothic Book"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EC2DF3"/>
    <w:multiLevelType w:val="hybridMultilevel"/>
    <w:tmpl w:val="699C0730"/>
    <w:lvl w:ilvl="0" w:tplc="2CF894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732169">
    <w:abstractNumId w:val="26"/>
  </w:num>
  <w:num w:numId="2" w16cid:durableId="268247009">
    <w:abstractNumId w:val="37"/>
  </w:num>
  <w:num w:numId="3" w16cid:durableId="194275018">
    <w:abstractNumId w:val="5"/>
  </w:num>
  <w:num w:numId="4" w16cid:durableId="1012492583">
    <w:abstractNumId w:val="4"/>
  </w:num>
  <w:num w:numId="5" w16cid:durableId="1162087015">
    <w:abstractNumId w:val="3"/>
  </w:num>
  <w:num w:numId="6" w16cid:durableId="497884040">
    <w:abstractNumId w:val="2"/>
  </w:num>
  <w:num w:numId="7" w16cid:durableId="895623197">
    <w:abstractNumId w:val="1"/>
  </w:num>
  <w:num w:numId="8" w16cid:durableId="535116550">
    <w:abstractNumId w:val="0"/>
  </w:num>
  <w:num w:numId="9" w16cid:durableId="341710303">
    <w:abstractNumId w:val="19"/>
  </w:num>
  <w:num w:numId="10" w16cid:durableId="1823352258">
    <w:abstractNumId w:val="34"/>
  </w:num>
  <w:num w:numId="11" w16cid:durableId="1397320796">
    <w:abstractNumId w:val="40"/>
  </w:num>
  <w:num w:numId="12" w16cid:durableId="942496912">
    <w:abstractNumId w:val="28"/>
  </w:num>
  <w:num w:numId="13" w16cid:durableId="412624864">
    <w:abstractNumId w:val="35"/>
  </w:num>
  <w:num w:numId="14" w16cid:durableId="1941181755">
    <w:abstractNumId w:val="23"/>
  </w:num>
  <w:num w:numId="15" w16cid:durableId="1227455538">
    <w:abstractNumId w:val="24"/>
  </w:num>
  <w:num w:numId="16" w16cid:durableId="748769233">
    <w:abstractNumId w:val="7"/>
  </w:num>
  <w:num w:numId="17" w16cid:durableId="1646885391">
    <w:abstractNumId w:val="25"/>
  </w:num>
  <w:num w:numId="18" w16cid:durableId="1865248590">
    <w:abstractNumId w:val="18"/>
  </w:num>
  <w:num w:numId="19" w16cid:durableId="1078941526">
    <w:abstractNumId w:val="14"/>
  </w:num>
  <w:num w:numId="20" w16cid:durableId="1890996068">
    <w:abstractNumId w:val="27"/>
  </w:num>
  <w:num w:numId="21" w16cid:durableId="1486970818">
    <w:abstractNumId w:val="17"/>
  </w:num>
  <w:num w:numId="22" w16cid:durableId="860974987">
    <w:abstractNumId w:val="32"/>
  </w:num>
  <w:num w:numId="23" w16cid:durableId="1516843058">
    <w:abstractNumId w:val="21"/>
  </w:num>
  <w:num w:numId="24" w16cid:durableId="358164495">
    <w:abstractNumId w:val="10"/>
  </w:num>
  <w:num w:numId="25" w16cid:durableId="1715428823">
    <w:abstractNumId w:val="29"/>
  </w:num>
  <w:num w:numId="26" w16cid:durableId="987058112">
    <w:abstractNumId w:val="31"/>
  </w:num>
  <w:num w:numId="27" w16cid:durableId="2058122218">
    <w:abstractNumId w:val="12"/>
  </w:num>
  <w:num w:numId="28" w16cid:durableId="588201034">
    <w:abstractNumId w:val="38"/>
  </w:num>
  <w:num w:numId="29" w16cid:durableId="195851470">
    <w:abstractNumId w:val="39"/>
  </w:num>
  <w:num w:numId="30" w16cid:durableId="428280105">
    <w:abstractNumId w:val="33"/>
  </w:num>
  <w:num w:numId="31" w16cid:durableId="1772119631">
    <w:abstractNumId w:val="36"/>
  </w:num>
  <w:num w:numId="32" w16cid:durableId="133104126">
    <w:abstractNumId w:val="20"/>
  </w:num>
  <w:num w:numId="33" w16cid:durableId="1756899008">
    <w:abstractNumId w:val="22"/>
  </w:num>
  <w:num w:numId="34" w16cid:durableId="1676228645">
    <w:abstractNumId w:val="41"/>
  </w:num>
  <w:num w:numId="35" w16cid:durableId="1215921956">
    <w:abstractNumId w:val="16"/>
  </w:num>
  <w:num w:numId="36" w16cid:durableId="544366725">
    <w:abstractNumId w:val="6"/>
  </w:num>
  <w:num w:numId="37" w16cid:durableId="1097215320">
    <w:abstractNumId w:val="9"/>
  </w:num>
  <w:num w:numId="38" w16cid:durableId="1540581565">
    <w:abstractNumId w:val="30"/>
  </w:num>
  <w:num w:numId="39" w16cid:durableId="138037181">
    <w:abstractNumId w:val="15"/>
  </w:num>
  <w:num w:numId="40" w16cid:durableId="986470527">
    <w:abstractNumId w:val="13"/>
  </w:num>
  <w:num w:numId="41" w16cid:durableId="1374428184">
    <w:abstractNumId w:val="8"/>
  </w:num>
  <w:num w:numId="42" w16cid:durableId="15461357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27CDC"/>
    <w:rsid w:val="0004426C"/>
    <w:rsid w:val="00052986"/>
    <w:rsid w:val="00070A04"/>
    <w:rsid w:val="00070EAA"/>
    <w:rsid w:val="00070FC8"/>
    <w:rsid w:val="00082EE2"/>
    <w:rsid w:val="00090CCC"/>
    <w:rsid w:val="000971D1"/>
    <w:rsid w:val="000B7FAC"/>
    <w:rsid w:val="000D3BC7"/>
    <w:rsid w:val="000D55A6"/>
    <w:rsid w:val="000D63E3"/>
    <w:rsid w:val="000E2E5E"/>
    <w:rsid w:val="000E5EAD"/>
    <w:rsid w:val="000E6242"/>
    <w:rsid w:val="000F4A20"/>
    <w:rsid w:val="0011329F"/>
    <w:rsid w:val="00116D2A"/>
    <w:rsid w:val="00121F48"/>
    <w:rsid w:val="00152EFC"/>
    <w:rsid w:val="001540C9"/>
    <w:rsid w:val="00171F93"/>
    <w:rsid w:val="0018485A"/>
    <w:rsid w:val="001A08C2"/>
    <w:rsid w:val="001A20BB"/>
    <w:rsid w:val="001A6448"/>
    <w:rsid w:val="001C2799"/>
    <w:rsid w:val="001C2E2F"/>
    <w:rsid w:val="001C35CC"/>
    <w:rsid w:val="001C6270"/>
    <w:rsid w:val="001D14BC"/>
    <w:rsid w:val="001D682B"/>
    <w:rsid w:val="001F146C"/>
    <w:rsid w:val="001F1F74"/>
    <w:rsid w:val="001F20E4"/>
    <w:rsid w:val="001F5784"/>
    <w:rsid w:val="00200D4D"/>
    <w:rsid w:val="002017E7"/>
    <w:rsid w:val="0021151E"/>
    <w:rsid w:val="00217CE9"/>
    <w:rsid w:val="00256244"/>
    <w:rsid w:val="002671FD"/>
    <w:rsid w:val="0027370E"/>
    <w:rsid w:val="002850DC"/>
    <w:rsid w:val="003076AD"/>
    <w:rsid w:val="00307822"/>
    <w:rsid w:val="00311862"/>
    <w:rsid w:val="0032251B"/>
    <w:rsid w:val="00334DFD"/>
    <w:rsid w:val="00340C6E"/>
    <w:rsid w:val="0036205E"/>
    <w:rsid w:val="0037675D"/>
    <w:rsid w:val="00382BBF"/>
    <w:rsid w:val="00383F81"/>
    <w:rsid w:val="00390203"/>
    <w:rsid w:val="00396789"/>
    <w:rsid w:val="003A6934"/>
    <w:rsid w:val="003C2CE1"/>
    <w:rsid w:val="003D0B28"/>
    <w:rsid w:val="003D604F"/>
    <w:rsid w:val="003D723C"/>
    <w:rsid w:val="003E78CD"/>
    <w:rsid w:val="003F229D"/>
    <w:rsid w:val="004052E8"/>
    <w:rsid w:val="004157DC"/>
    <w:rsid w:val="0044048C"/>
    <w:rsid w:val="00444D16"/>
    <w:rsid w:val="00472CC3"/>
    <w:rsid w:val="004761E0"/>
    <w:rsid w:val="004877F3"/>
    <w:rsid w:val="00497E1E"/>
    <w:rsid w:val="004A3856"/>
    <w:rsid w:val="004A586E"/>
    <w:rsid w:val="004A777D"/>
    <w:rsid w:val="004B75E2"/>
    <w:rsid w:val="004C2984"/>
    <w:rsid w:val="004C747C"/>
    <w:rsid w:val="004E33B5"/>
    <w:rsid w:val="004E766E"/>
    <w:rsid w:val="0051217D"/>
    <w:rsid w:val="00523947"/>
    <w:rsid w:val="00524DA7"/>
    <w:rsid w:val="00531CA5"/>
    <w:rsid w:val="00542BBB"/>
    <w:rsid w:val="00543296"/>
    <w:rsid w:val="00550F23"/>
    <w:rsid w:val="0059376F"/>
    <w:rsid w:val="005A1313"/>
    <w:rsid w:val="005A754A"/>
    <w:rsid w:val="005C7B76"/>
    <w:rsid w:val="005D576B"/>
    <w:rsid w:val="005E087B"/>
    <w:rsid w:val="006202DD"/>
    <w:rsid w:val="00620C10"/>
    <w:rsid w:val="00621401"/>
    <w:rsid w:val="006310BF"/>
    <w:rsid w:val="0064159C"/>
    <w:rsid w:val="006417F4"/>
    <w:rsid w:val="00643C4C"/>
    <w:rsid w:val="00660DFA"/>
    <w:rsid w:val="0066230F"/>
    <w:rsid w:val="00677F3C"/>
    <w:rsid w:val="006800DC"/>
    <w:rsid w:val="00684B8B"/>
    <w:rsid w:val="00690014"/>
    <w:rsid w:val="00690660"/>
    <w:rsid w:val="006A05B5"/>
    <w:rsid w:val="006A40A5"/>
    <w:rsid w:val="006B2108"/>
    <w:rsid w:val="006B3F6A"/>
    <w:rsid w:val="006C4BCE"/>
    <w:rsid w:val="006C668C"/>
    <w:rsid w:val="006C7DEE"/>
    <w:rsid w:val="006E23D2"/>
    <w:rsid w:val="006F4B06"/>
    <w:rsid w:val="006F7C39"/>
    <w:rsid w:val="0070105A"/>
    <w:rsid w:val="00702EC6"/>
    <w:rsid w:val="007154E1"/>
    <w:rsid w:val="00725564"/>
    <w:rsid w:val="00733637"/>
    <w:rsid w:val="007451D8"/>
    <w:rsid w:val="00756A61"/>
    <w:rsid w:val="00757698"/>
    <w:rsid w:val="007609E8"/>
    <w:rsid w:val="007738D2"/>
    <w:rsid w:val="00776F82"/>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473C1"/>
    <w:rsid w:val="008474D9"/>
    <w:rsid w:val="008510CD"/>
    <w:rsid w:val="00854747"/>
    <w:rsid w:val="00867EEB"/>
    <w:rsid w:val="00882762"/>
    <w:rsid w:val="008A34F5"/>
    <w:rsid w:val="008A481F"/>
    <w:rsid w:val="008A61DE"/>
    <w:rsid w:val="008C52B4"/>
    <w:rsid w:val="008D124B"/>
    <w:rsid w:val="008D4379"/>
    <w:rsid w:val="008D67E8"/>
    <w:rsid w:val="008D6AD9"/>
    <w:rsid w:val="008F4D6B"/>
    <w:rsid w:val="00911281"/>
    <w:rsid w:val="00915CA6"/>
    <w:rsid w:val="00916D2A"/>
    <w:rsid w:val="00917941"/>
    <w:rsid w:val="009215F4"/>
    <w:rsid w:val="00923F84"/>
    <w:rsid w:val="00934A08"/>
    <w:rsid w:val="00955689"/>
    <w:rsid w:val="00961E60"/>
    <w:rsid w:val="0096648C"/>
    <w:rsid w:val="009727FD"/>
    <w:rsid w:val="00984B15"/>
    <w:rsid w:val="0099333A"/>
    <w:rsid w:val="009B0986"/>
    <w:rsid w:val="009D2F48"/>
    <w:rsid w:val="00A01FF8"/>
    <w:rsid w:val="00A11B03"/>
    <w:rsid w:val="00A32ABB"/>
    <w:rsid w:val="00A34A37"/>
    <w:rsid w:val="00A36337"/>
    <w:rsid w:val="00A4297C"/>
    <w:rsid w:val="00A62B1D"/>
    <w:rsid w:val="00A65035"/>
    <w:rsid w:val="00A67426"/>
    <w:rsid w:val="00A86178"/>
    <w:rsid w:val="00AA54D2"/>
    <w:rsid w:val="00AA74B7"/>
    <w:rsid w:val="00AD204A"/>
    <w:rsid w:val="00AE46AA"/>
    <w:rsid w:val="00AF5A00"/>
    <w:rsid w:val="00B04D4C"/>
    <w:rsid w:val="00B07D50"/>
    <w:rsid w:val="00B20CDA"/>
    <w:rsid w:val="00B30C70"/>
    <w:rsid w:val="00B326E1"/>
    <w:rsid w:val="00B72667"/>
    <w:rsid w:val="00B726A5"/>
    <w:rsid w:val="00B73DB4"/>
    <w:rsid w:val="00B756CE"/>
    <w:rsid w:val="00B847F0"/>
    <w:rsid w:val="00B85871"/>
    <w:rsid w:val="00B86EE0"/>
    <w:rsid w:val="00BA3500"/>
    <w:rsid w:val="00BA5FCC"/>
    <w:rsid w:val="00BB3568"/>
    <w:rsid w:val="00BC5122"/>
    <w:rsid w:val="00BE1D28"/>
    <w:rsid w:val="00BE3882"/>
    <w:rsid w:val="00BF5AFE"/>
    <w:rsid w:val="00C03088"/>
    <w:rsid w:val="00C26C69"/>
    <w:rsid w:val="00C431F4"/>
    <w:rsid w:val="00C54D82"/>
    <w:rsid w:val="00C66FD6"/>
    <w:rsid w:val="00C67F83"/>
    <w:rsid w:val="00C87F89"/>
    <w:rsid w:val="00CB0218"/>
    <w:rsid w:val="00CB1695"/>
    <w:rsid w:val="00CB58A9"/>
    <w:rsid w:val="00CC6127"/>
    <w:rsid w:val="00CE2A80"/>
    <w:rsid w:val="00CF635B"/>
    <w:rsid w:val="00D155D2"/>
    <w:rsid w:val="00D32FF1"/>
    <w:rsid w:val="00D4380D"/>
    <w:rsid w:val="00D468DC"/>
    <w:rsid w:val="00D90577"/>
    <w:rsid w:val="00D90E71"/>
    <w:rsid w:val="00D94366"/>
    <w:rsid w:val="00D9591F"/>
    <w:rsid w:val="00DA5C8E"/>
    <w:rsid w:val="00DC5C4B"/>
    <w:rsid w:val="00DD0542"/>
    <w:rsid w:val="00DE4A95"/>
    <w:rsid w:val="00E05D7F"/>
    <w:rsid w:val="00E10D38"/>
    <w:rsid w:val="00E1247A"/>
    <w:rsid w:val="00E17BCD"/>
    <w:rsid w:val="00E20101"/>
    <w:rsid w:val="00E44E05"/>
    <w:rsid w:val="00E61D7C"/>
    <w:rsid w:val="00E66FFC"/>
    <w:rsid w:val="00E841C3"/>
    <w:rsid w:val="00E92F91"/>
    <w:rsid w:val="00E93B04"/>
    <w:rsid w:val="00EA02D0"/>
    <w:rsid w:val="00EB2056"/>
    <w:rsid w:val="00EB2145"/>
    <w:rsid w:val="00EB3F9F"/>
    <w:rsid w:val="00EB679D"/>
    <w:rsid w:val="00EC64AA"/>
    <w:rsid w:val="00EE4DF7"/>
    <w:rsid w:val="00EE6E8A"/>
    <w:rsid w:val="00EF2A73"/>
    <w:rsid w:val="00F03DA5"/>
    <w:rsid w:val="00F041B5"/>
    <w:rsid w:val="00F24F2D"/>
    <w:rsid w:val="00F27378"/>
    <w:rsid w:val="00F313BE"/>
    <w:rsid w:val="00F36245"/>
    <w:rsid w:val="00F6553C"/>
    <w:rsid w:val="00F70DA8"/>
    <w:rsid w:val="00F733E6"/>
    <w:rsid w:val="00F861E5"/>
    <w:rsid w:val="00F907EB"/>
    <w:rsid w:val="00F91989"/>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1685</Words>
  <Characters>9134</Characters>
  <Application>Microsoft Office Word</Application>
  <DocSecurity>4</DocSecurity>
  <Lines>276</Lines>
  <Paragraphs>87</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2018-01-30T20:42:00Z</cp:lastPrinted>
  <dcterms:created xsi:type="dcterms:W3CDTF">2023-11-09T15:48:00Z</dcterms:created>
  <dcterms:modified xsi:type="dcterms:W3CDTF">2023-11-09T15:48:00Z</dcterms:modified>
</cp:coreProperties>
</file>