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E84F0" w14:textId="6B077B08" w:rsidR="002E1C02" w:rsidRPr="003D13EF" w:rsidRDefault="004D7607">
      <w:pPr>
        <w:spacing w:after="0" w:line="259" w:lineRule="auto"/>
        <w:ind w:left="-5" w:hanging="10"/>
        <w:rPr>
          <w:rFonts w:ascii="Franklin Gothic Demi Cond" w:hAnsi="Franklin Gothic Demi Cond"/>
        </w:rPr>
      </w:pPr>
      <w:r w:rsidRPr="003D13EF">
        <w:rPr>
          <w:rFonts w:ascii="Franklin Gothic Demi Cond" w:eastAsia="Franklin Gothic" w:hAnsi="Franklin Gothic Demi Cond" w:cs="Franklin Gothic"/>
          <w:sz w:val="52"/>
        </w:rPr>
        <w:t xml:space="preserve">Chapter 3: </w:t>
      </w:r>
    </w:p>
    <w:p w14:paraId="4B4ED86F" w14:textId="77777777" w:rsidR="002E1C02" w:rsidRPr="003D13EF" w:rsidRDefault="004D7607">
      <w:pPr>
        <w:spacing w:after="0" w:line="259" w:lineRule="auto"/>
        <w:ind w:left="-5" w:hanging="10"/>
        <w:rPr>
          <w:rFonts w:ascii="Franklin Gothic Demi Cond" w:hAnsi="Franklin Gothic Demi Cond"/>
        </w:rPr>
      </w:pPr>
      <w:r w:rsidRPr="003D13EF">
        <w:rPr>
          <w:rFonts w:ascii="Franklin Gothic Demi Cond" w:eastAsia="Franklin Gothic" w:hAnsi="Franklin Gothic Demi Cond" w:cs="Franklin Gothic"/>
          <w:sz w:val="52"/>
        </w:rPr>
        <w:t xml:space="preserve">Counseling and Guidance, Referral to Other Services, and Other Goods and Services </w:t>
      </w:r>
    </w:p>
    <w:p w14:paraId="2AD1EDB9" w14:textId="77777777" w:rsidR="002E1C02" w:rsidRDefault="004D7607">
      <w:pPr>
        <w:spacing w:after="389" w:line="259" w:lineRule="auto"/>
        <w:ind w:left="-29" w:right="-39" w:firstLine="0"/>
      </w:pPr>
      <w:r>
        <w:rPr>
          <w:rFonts w:ascii="Calibri" w:eastAsia="Calibri" w:hAnsi="Calibri" w:cs="Calibri"/>
          <w:noProof/>
          <w:sz w:val="22"/>
        </w:rPr>
        <mc:AlternateContent>
          <mc:Choice Requires="wpg">
            <w:drawing>
              <wp:inline distT="0" distB="0" distL="0" distR="0" wp14:anchorId="4109305C" wp14:editId="18910421">
                <wp:extent cx="5980176" cy="12192"/>
                <wp:effectExtent l="0" t="0" r="0" b="0"/>
                <wp:docPr id="2897" name="Group 2897"/>
                <wp:cNvGraphicFramePr/>
                <a:graphic xmlns:a="http://schemas.openxmlformats.org/drawingml/2006/main">
                  <a:graphicData uri="http://schemas.microsoft.com/office/word/2010/wordprocessingGroup">
                    <wpg:wgp>
                      <wpg:cNvGrpSpPr/>
                      <wpg:grpSpPr>
                        <a:xfrm>
                          <a:off x="0" y="0"/>
                          <a:ext cx="5980176" cy="12192"/>
                          <a:chOff x="0" y="0"/>
                          <a:chExt cx="5980176" cy="12192"/>
                        </a:xfrm>
                      </wpg:grpSpPr>
                      <wps:wsp>
                        <wps:cNvPr id="3125" name="Shape 3125"/>
                        <wps:cNvSpPr/>
                        <wps:spPr>
                          <a:xfrm>
                            <a:off x="0" y="0"/>
                            <a:ext cx="5980176" cy="12192"/>
                          </a:xfrm>
                          <a:custGeom>
                            <a:avLst/>
                            <a:gdLst/>
                            <a:ahLst/>
                            <a:cxnLst/>
                            <a:rect l="0" t="0" r="0" b="0"/>
                            <a:pathLst>
                              <a:path w="5980176" h="12192">
                                <a:moveTo>
                                  <a:pt x="0" y="0"/>
                                </a:moveTo>
                                <a:lnTo>
                                  <a:pt x="5980176" y="0"/>
                                </a:lnTo>
                                <a:lnTo>
                                  <a:pt x="5980176" y="12192"/>
                                </a:lnTo>
                                <a:lnTo>
                                  <a:pt x="0" y="12192"/>
                                </a:lnTo>
                                <a:lnTo>
                                  <a:pt x="0" y="0"/>
                                </a:lnTo>
                              </a:path>
                            </a:pathLst>
                          </a:custGeom>
                          <a:ln w="0" cap="flat">
                            <a:miter lim="127000"/>
                          </a:ln>
                        </wps:spPr>
                        <wps:style>
                          <a:lnRef idx="0">
                            <a:srgbClr val="000000">
                              <a:alpha val="0"/>
                            </a:srgbClr>
                          </a:lnRef>
                          <a:fillRef idx="1">
                            <a:srgbClr val="DEDEDF"/>
                          </a:fillRef>
                          <a:effectRef idx="0">
                            <a:scrgbClr r="0" g="0" b="0"/>
                          </a:effectRef>
                          <a:fontRef idx="none"/>
                        </wps:style>
                        <wps:bodyPr/>
                      </wps:wsp>
                    </wpg:wgp>
                  </a:graphicData>
                </a:graphic>
              </wp:inline>
            </w:drawing>
          </mc:Choice>
          <mc:Fallback xmlns:a="http://schemas.openxmlformats.org/drawingml/2006/main">
            <w:pict>
              <v:group id="Group 2897" style="width:470.88pt;height:0.960022pt;mso-position-horizontal-relative:char;mso-position-vertical-relative:line" coordsize="59801,121">
                <v:shape id="Shape 3126" style="position:absolute;width:59801;height:121;left:0;top:0;" coordsize="5980176,12192" path="m0,0l5980176,0l5980176,12192l0,12192l0,0">
                  <v:stroke weight="0pt" endcap="flat" joinstyle="miter" miterlimit="10" on="false" color="#000000" opacity="0"/>
                  <v:fill on="true" color="#dededf"/>
                </v:shape>
              </v:group>
            </w:pict>
          </mc:Fallback>
        </mc:AlternateContent>
      </w:r>
    </w:p>
    <w:p w14:paraId="52998C0D" w14:textId="76F68DDF" w:rsidR="002E1C02" w:rsidRPr="003D13EF" w:rsidRDefault="004D7607">
      <w:pPr>
        <w:spacing w:after="7"/>
        <w:ind w:left="-15" w:right="22" w:firstLine="0"/>
      </w:pPr>
      <w:r w:rsidRPr="003D13EF">
        <w:t xml:space="preserve">Vermont Division </w:t>
      </w:r>
      <w:r w:rsidR="007E13F1" w:rsidRPr="003D13EF">
        <w:t>for the Blind and Visually Impaired</w:t>
      </w:r>
      <w:r w:rsidRPr="003D13EF">
        <w:t xml:space="preserve"> </w:t>
      </w:r>
    </w:p>
    <w:p w14:paraId="679EB140" w14:textId="77777777" w:rsidR="002E1C02" w:rsidRPr="003D13EF" w:rsidRDefault="004D7607">
      <w:pPr>
        <w:spacing w:after="225"/>
        <w:ind w:left="-15" w:right="22" w:firstLine="0"/>
      </w:pPr>
      <w:r w:rsidRPr="003D13EF">
        <w:t xml:space="preserve">Policy and Procedures Manual </w:t>
      </w:r>
    </w:p>
    <w:p w14:paraId="4E02DEFB" w14:textId="6C5D4CB3" w:rsidR="002E1C02" w:rsidRPr="003D13EF" w:rsidRDefault="004D7607">
      <w:pPr>
        <w:spacing w:after="347"/>
        <w:ind w:left="-15" w:right="22" w:firstLine="0"/>
      </w:pPr>
      <w:r w:rsidRPr="003D13EF">
        <w:t xml:space="preserve">Revision Date: </w:t>
      </w:r>
      <w:r w:rsidR="00102C98">
        <w:t xml:space="preserve"> </w:t>
      </w:r>
      <w:r w:rsidR="007E13F1" w:rsidRPr="003D13EF">
        <w:t>February 2020</w:t>
      </w:r>
      <w:r w:rsidRPr="003D13EF">
        <w:t xml:space="preserve">  </w:t>
      </w:r>
    </w:p>
    <w:p w14:paraId="5F313140" w14:textId="77777777" w:rsidR="002E1C02" w:rsidRPr="007D7FF3" w:rsidRDefault="004D7607">
      <w:pPr>
        <w:spacing w:after="150" w:line="259" w:lineRule="auto"/>
        <w:ind w:left="0" w:firstLine="0"/>
        <w:rPr>
          <w:rFonts w:ascii="Franklin Gothic Demi" w:hAnsi="Franklin Gothic Demi"/>
        </w:rPr>
      </w:pPr>
      <w:r w:rsidRPr="007D7FF3">
        <w:rPr>
          <w:rFonts w:ascii="Franklin Gothic Demi" w:eastAsia="Franklin Gothic" w:hAnsi="Franklin Gothic Demi" w:cs="Franklin Gothic"/>
        </w:rPr>
        <w:t xml:space="preserve">Table of Contents </w:t>
      </w:r>
    </w:p>
    <w:p w14:paraId="7D3B5DEE" w14:textId="375D3FA5" w:rsidR="002E1C02" w:rsidRPr="003D13EF" w:rsidRDefault="004D7607">
      <w:pPr>
        <w:tabs>
          <w:tab w:val="right" w:pos="9349"/>
        </w:tabs>
        <w:spacing w:after="159" w:line="259" w:lineRule="auto"/>
        <w:ind w:left="-22" w:right="-15" w:firstLine="0"/>
        <w:rPr>
          <w:rFonts w:ascii="Franklin Gothic Medium" w:hAnsi="Franklin Gothic Medium"/>
        </w:rPr>
      </w:pPr>
      <w:r>
        <w:rPr>
          <w:noProof/>
        </w:rPr>
        <w:drawing>
          <wp:inline distT="0" distB="0" distL="0" distR="0" wp14:anchorId="0E581D24" wp14:editId="65629590">
            <wp:extent cx="600456" cy="11277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600456" cy="112776"/>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tab/>
      </w:r>
      <w:r w:rsidRPr="003D13EF">
        <w:rPr>
          <w:rFonts w:ascii="Franklin Gothic Medium" w:eastAsia="Franklin Gothic" w:hAnsi="Franklin Gothic Medium" w:cs="Franklin Gothic"/>
        </w:rPr>
        <w:t>Definitions .........</w:t>
      </w:r>
      <w:r w:rsidR="002262B4" w:rsidRPr="003D13EF">
        <w:rPr>
          <w:rFonts w:ascii="Franklin Gothic Medium" w:eastAsia="Franklin Gothic" w:hAnsi="Franklin Gothic Medium" w:cs="Franklin Gothic"/>
        </w:rPr>
        <w:t>.......</w:t>
      </w:r>
      <w:r w:rsidRPr="003D13EF">
        <w:rPr>
          <w:rFonts w:ascii="Franklin Gothic Medium" w:eastAsia="Franklin Gothic" w:hAnsi="Franklin Gothic Medium" w:cs="Franklin Gothic"/>
        </w:rPr>
        <w:t>.....</w:t>
      </w:r>
      <w:r w:rsidR="002262B4" w:rsidRPr="003D13EF">
        <w:rPr>
          <w:rFonts w:ascii="Franklin Gothic Medium" w:eastAsia="Franklin Gothic" w:hAnsi="Franklin Gothic Medium" w:cs="Franklin Gothic"/>
        </w:rPr>
        <w:t>..</w:t>
      </w:r>
      <w:r w:rsidRPr="003D13EF">
        <w:rPr>
          <w:rFonts w:ascii="Franklin Gothic Medium" w:eastAsia="Franklin Gothic" w:hAnsi="Franklin Gothic Medium" w:cs="Franklin Gothic"/>
        </w:rPr>
        <w:t>.........................................................................................</w:t>
      </w:r>
      <w:r w:rsidR="00A277BE" w:rsidRPr="003D13EF">
        <w:rPr>
          <w:rFonts w:ascii="Franklin Gothic Medium" w:eastAsia="Franklin Gothic" w:hAnsi="Franklin Gothic Medium" w:cs="Franklin Gothic"/>
        </w:rPr>
        <w:t xml:space="preserve">.  </w:t>
      </w:r>
      <w:r w:rsidR="003D13EF">
        <w:rPr>
          <w:rFonts w:ascii="Franklin Gothic Medium" w:eastAsia="Franklin Gothic" w:hAnsi="Franklin Gothic Medium" w:cs="Franklin Gothic"/>
        </w:rPr>
        <w:t>1</w:t>
      </w:r>
      <w:r w:rsidRPr="003D13EF">
        <w:rPr>
          <w:rFonts w:ascii="Franklin Gothic Medium" w:eastAsia="Calibri" w:hAnsi="Franklin Gothic Medium" w:cs="Calibri"/>
          <w:sz w:val="22"/>
        </w:rPr>
        <w:t xml:space="preserve"> </w:t>
      </w:r>
    </w:p>
    <w:p w14:paraId="698F7310" w14:textId="53026DD6" w:rsidR="002E1C02" w:rsidRPr="003D13EF" w:rsidRDefault="004D7607">
      <w:pPr>
        <w:tabs>
          <w:tab w:val="right" w:pos="9349"/>
        </w:tabs>
        <w:spacing w:after="159" w:line="259" w:lineRule="auto"/>
        <w:ind w:left="-22" w:right="-15" w:firstLine="0"/>
        <w:rPr>
          <w:rFonts w:ascii="Franklin Gothic Medium" w:hAnsi="Franklin Gothic Medium"/>
        </w:rPr>
      </w:pPr>
      <w:r w:rsidRPr="003D13EF">
        <w:rPr>
          <w:rFonts w:ascii="Franklin Gothic Medium" w:hAnsi="Franklin Gothic Medium"/>
          <w:noProof/>
        </w:rPr>
        <w:drawing>
          <wp:inline distT="0" distB="0" distL="0" distR="0" wp14:anchorId="1210AAF4" wp14:editId="247B0CDD">
            <wp:extent cx="641604" cy="112776"/>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stretch>
                      <a:fillRect/>
                    </a:stretch>
                  </pic:blipFill>
                  <pic:spPr>
                    <a:xfrm>
                      <a:off x="0" y="0"/>
                      <a:ext cx="641604" cy="112776"/>
                    </a:xfrm>
                    <a:prstGeom prst="rect">
                      <a:avLst/>
                    </a:prstGeom>
                  </pic:spPr>
                </pic:pic>
              </a:graphicData>
            </a:graphic>
          </wp:inline>
        </w:drawing>
      </w:r>
      <w:r w:rsidRPr="003D13EF">
        <w:rPr>
          <w:rFonts w:ascii="Franklin Gothic Medium" w:eastAsia="Calibri" w:hAnsi="Franklin Gothic Medium" w:cs="Calibri"/>
          <w:sz w:val="22"/>
        </w:rPr>
        <w:t xml:space="preserve"> </w:t>
      </w:r>
      <w:r w:rsidRPr="003D13EF">
        <w:rPr>
          <w:rFonts w:ascii="Franklin Gothic Medium" w:eastAsia="Calibri" w:hAnsi="Franklin Gothic Medium" w:cs="Calibri"/>
          <w:sz w:val="22"/>
        </w:rPr>
        <w:tab/>
      </w:r>
      <w:r w:rsidRPr="003D13EF">
        <w:rPr>
          <w:rFonts w:ascii="Franklin Gothic Medium" w:eastAsia="Franklin Gothic" w:hAnsi="Franklin Gothic Medium" w:cs="Franklin Gothic"/>
        </w:rPr>
        <w:t xml:space="preserve">Counseling and Guidance </w:t>
      </w:r>
      <w:r w:rsidR="002262B4" w:rsidRPr="003D13EF">
        <w:rPr>
          <w:rFonts w:ascii="Franklin Gothic Medium" w:eastAsia="Franklin Gothic" w:hAnsi="Franklin Gothic Medium" w:cs="Franklin Gothic"/>
        </w:rPr>
        <w:t>…</w:t>
      </w:r>
      <w:r w:rsidRPr="003D13EF">
        <w:rPr>
          <w:rFonts w:ascii="Franklin Gothic Medium" w:eastAsia="Franklin Gothic" w:hAnsi="Franklin Gothic Medium" w:cs="Franklin Gothic"/>
        </w:rPr>
        <w:t>...................................................................................</w:t>
      </w:r>
      <w:r w:rsidR="00A277BE" w:rsidRPr="003D13EF">
        <w:rPr>
          <w:rFonts w:ascii="Franklin Gothic Medium" w:eastAsia="Franklin Gothic" w:hAnsi="Franklin Gothic Medium" w:cs="Franklin Gothic"/>
        </w:rPr>
        <w:t xml:space="preserve">.  </w:t>
      </w:r>
      <w:r w:rsidRPr="003D13EF">
        <w:rPr>
          <w:rFonts w:ascii="Franklin Gothic Medium" w:eastAsia="Franklin Gothic" w:hAnsi="Franklin Gothic Medium" w:cs="Franklin Gothic"/>
        </w:rPr>
        <w:t>2</w:t>
      </w:r>
      <w:r w:rsidRPr="003D13EF">
        <w:rPr>
          <w:rFonts w:ascii="Franklin Gothic Medium" w:eastAsia="Calibri" w:hAnsi="Franklin Gothic Medium" w:cs="Calibri"/>
          <w:sz w:val="22"/>
        </w:rPr>
        <w:t xml:space="preserve"> </w:t>
      </w:r>
    </w:p>
    <w:p w14:paraId="3F3E138A" w14:textId="5CD842C4" w:rsidR="002E1C02" w:rsidRPr="003D13EF" w:rsidRDefault="004D7607">
      <w:pPr>
        <w:tabs>
          <w:tab w:val="right" w:pos="9349"/>
        </w:tabs>
        <w:spacing w:after="159" w:line="259" w:lineRule="auto"/>
        <w:ind w:left="-22" w:right="-15" w:firstLine="0"/>
        <w:rPr>
          <w:rFonts w:ascii="Franklin Gothic Medium" w:hAnsi="Franklin Gothic Medium"/>
        </w:rPr>
      </w:pPr>
      <w:r w:rsidRPr="003D13EF">
        <w:rPr>
          <w:rFonts w:ascii="Franklin Gothic Medium" w:hAnsi="Franklin Gothic Medium"/>
          <w:noProof/>
        </w:rPr>
        <w:drawing>
          <wp:inline distT="0" distB="0" distL="0" distR="0" wp14:anchorId="1FA932EF" wp14:editId="3913BA97">
            <wp:extent cx="682752" cy="112776"/>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a:fillRect/>
                    </a:stretch>
                  </pic:blipFill>
                  <pic:spPr>
                    <a:xfrm>
                      <a:off x="0" y="0"/>
                      <a:ext cx="682752" cy="112776"/>
                    </a:xfrm>
                    <a:prstGeom prst="rect">
                      <a:avLst/>
                    </a:prstGeom>
                  </pic:spPr>
                </pic:pic>
              </a:graphicData>
            </a:graphic>
          </wp:inline>
        </w:drawing>
      </w:r>
      <w:r w:rsidRPr="003D13EF">
        <w:rPr>
          <w:rFonts w:ascii="Franklin Gothic Medium" w:eastAsia="Calibri" w:hAnsi="Franklin Gothic Medium" w:cs="Calibri"/>
          <w:sz w:val="22"/>
        </w:rPr>
        <w:t xml:space="preserve"> </w:t>
      </w:r>
      <w:r w:rsidRPr="003D13EF">
        <w:rPr>
          <w:rFonts w:ascii="Franklin Gothic Medium" w:eastAsia="Calibri" w:hAnsi="Franklin Gothic Medium" w:cs="Calibri"/>
          <w:sz w:val="22"/>
        </w:rPr>
        <w:tab/>
      </w:r>
      <w:r w:rsidRPr="003D13EF">
        <w:rPr>
          <w:rFonts w:ascii="Franklin Gothic Medium" w:eastAsia="Franklin Gothic" w:hAnsi="Franklin Gothic Medium" w:cs="Franklin Gothic"/>
        </w:rPr>
        <w:t>Referral to Other Service Providers ..................</w:t>
      </w:r>
      <w:r w:rsidR="002262B4" w:rsidRPr="003D13EF">
        <w:rPr>
          <w:rFonts w:ascii="Franklin Gothic Medium" w:eastAsia="Franklin Gothic" w:hAnsi="Franklin Gothic Medium" w:cs="Franklin Gothic"/>
        </w:rPr>
        <w:t>.</w:t>
      </w:r>
      <w:r w:rsidRPr="003D13EF">
        <w:rPr>
          <w:rFonts w:ascii="Franklin Gothic Medium" w:eastAsia="Franklin Gothic" w:hAnsi="Franklin Gothic Medium" w:cs="Franklin Gothic"/>
        </w:rPr>
        <w:t>..................................................</w:t>
      </w:r>
      <w:r w:rsidR="00A277BE" w:rsidRPr="003D13EF">
        <w:rPr>
          <w:rFonts w:ascii="Franklin Gothic Medium" w:eastAsia="Franklin Gothic" w:hAnsi="Franklin Gothic Medium" w:cs="Franklin Gothic"/>
        </w:rPr>
        <w:t xml:space="preserve">.  </w:t>
      </w:r>
      <w:r w:rsidR="003D13EF">
        <w:rPr>
          <w:rFonts w:ascii="Franklin Gothic Medium" w:eastAsia="Franklin Gothic" w:hAnsi="Franklin Gothic Medium" w:cs="Franklin Gothic"/>
        </w:rPr>
        <w:t>2</w:t>
      </w:r>
      <w:r w:rsidRPr="003D13EF">
        <w:rPr>
          <w:rFonts w:ascii="Franklin Gothic Medium" w:eastAsia="Calibri" w:hAnsi="Franklin Gothic Medium" w:cs="Calibri"/>
          <w:sz w:val="22"/>
        </w:rPr>
        <w:t xml:space="preserve"> </w:t>
      </w:r>
    </w:p>
    <w:p w14:paraId="4B807018" w14:textId="466B8490" w:rsidR="002E1C02" w:rsidRPr="003D13EF" w:rsidRDefault="004D7607">
      <w:pPr>
        <w:tabs>
          <w:tab w:val="right" w:pos="9349"/>
        </w:tabs>
        <w:spacing w:after="88" w:line="259" w:lineRule="auto"/>
        <w:ind w:left="-22" w:right="-15" w:firstLine="0"/>
        <w:rPr>
          <w:rFonts w:ascii="Franklin Gothic Medium" w:hAnsi="Franklin Gothic Medium"/>
        </w:rPr>
      </w:pPr>
      <w:r w:rsidRPr="003D13EF">
        <w:rPr>
          <w:rFonts w:ascii="Franklin Gothic Medium" w:hAnsi="Franklin Gothic Medium"/>
          <w:noProof/>
        </w:rPr>
        <w:drawing>
          <wp:inline distT="0" distB="0" distL="0" distR="0" wp14:anchorId="44E9FC6F" wp14:editId="5F861666">
            <wp:extent cx="682752" cy="112776"/>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a:stretch>
                      <a:fillRect/>
                    </a:stretch>
                  </pic:blipFill>
                  <pic:spPr>
                    <a:xfrm>
                      <a:off x="0" y="0"/>
                      <a:ext cx="682752" cy="112776"/>
                    </a:xfrm>
                    <a:prstGeom prst="rect">
                      <a:avLst/>
                    </a:prstGeom>
                  </pic:spPr>
                </pic:pic>
              </a:graphicData>
            </a:graphic>
          </wp:inline>
        </w:drawing>
      </w:r>
      <w:r w:rsidRPr="003D13EF">
        <w:rPr>
          <w:rFonts w:ascii="Franklin Gothic Medium" w:eastAsia="Calibri" w:hAnsi="Franklin Gothic Medium" w:cs="Calibri"/>
          <w:sz w:val="22"/>
        </w:rPr>
        <w:t xml:space="preserve"> </w:t>
      </w:r>
      <w:r w:rsidRPr="003D13EF">
        <w:rPr>
          <w:rFonts w:ascii="Franklin Gothic Medium" w:eastAsia="Calibri" w:hAnsi="Franklin Gothic Medium" w:cs="Calibri"/>
          <w:sz w:val="22"/>
        </w:rPr>
        <w:tab/>
      </w:r>
      <w:r w:rsidRPr="003D13EF">
        <w:rPr>
          <w:rFonts w:ascii="Franklin Gothic Medium" w:eastAsia="Franklin Gothic" w:hAnsi="Franklin Gothic Medium" w:cs="Franklin Gothic"/>
        </w:rPr>
        <w:t>Other Goods and Services ............................</w:t>
      </w:r>
      <w:r w:rsidR="002262B4" w:rsidRPr="003D13EF">
        <w:rPr>
          <w:rFonts w:ascii="Franklin Gothic Medium" w:eastAsia="Franklin Gothic" w:hAnsi="Franklin Gothic Medium" w:cs="Franklin Gothic"/>
        </w:rPr>
        <w:t>..</w:t>
      </w:r>
      <w:r w:rsidRPr="003D13EF">
        <w:rPr>
          <w:rFonts w:ascii="Franklin Gothic Medium" w:eastAsia="Franklin Gothic" w:hAnsi="Franklin Gothic Medium" w:cs="Franklin Gothic"/>
        </w:rPr>
        <w:t>.......................................................</w:t>
      </w:r>
      <w:r w:rsidR="00A277BE" w:rsidRPr="003D13EF">
        <w:rPr>
          <w:rFonts w:ascii="Franklin Gothic Medium" w:eastAsia="Franklin Gothic" w:hAnsi="Franklin Gothic Medium" w:cs="Franklin Gothic"/>
        </w:rPr>
        <w:t xml:space="preserve">.  </w:t>
      </w:r>
      <w:r w:rsidRPr="003D13EF">
        <w:rPr>
          <w:rFonts w:ascii="Franklin Gothic Medium" w:eastAsia="Franklin Gothic" w:hAnsi="Franklin Gothic Medium" w:cs="Franklin Gothic"/>
        </w:rPr>
        <w:t>4</w:t>
      </w:r>
      <w:r w:rsidRPr="003D13EF">
        <w:rPr>
          <w:rFonts w:ascii="Franklin Gothic Medium" w:eastAsia="Calibri" w:hAnsi="Franklin Gothic Medium" w:cs="Calibri"/>
          <w:sz w:val="22"/>
        </w:rPr>
        <w:t xml:space="preserve"> </w:t>
      </w:r>
    </w:p>
    <w:p w14:paraId="19593631" w14:textId="77777777" w:rsidR="002E1C02" w:rsidRDefault="004D7607">
      <w:pPr>
        <w:spacing w:after="5" w:line="259" w:lineRule="auto"/>
        <w:ind w:left="0" w:firstLine="0"/>
      </w:pPr>
      <w:r>
        <w:t xml:space="preserve"> </w:t>
      </w:r>
    </w:p>
    <w:p w14:paraId="0E80B7BE" w14:textId="77777777" w:rsidR="002E1C02" w:rsidRDefault="004D7607">
      <w:pPr>
        <w:spacing w:after="0" w:line="259" w:lineRule="auto"/>
        <w:ind w:left="0" w:firstLine="0"/>
      </w:pPr>
      <w:r>
        <w:t xml:space="preserve"> </w:t>
      </w:r>
      <w:r>
        <w:tab/>
        <w:t xml:space="preserve"> </w:t>
      </w:r>
    </w:p>
    <w:p w14:paraId="7B15A180" w14:textId="77777777" w:rsidR="002E1C02" w:rsidRDefault="004D7607">
      <w:pPr>
        <w:pStyle w:val="Heading1"/>
        <w:tabs>
          <w:tab w:val="center" w:pos="2088"/>
        </w:tabs>
        <w:ind w:left="-20" w:firstLine="0"/>
      </w:pPr>
      <w:r>
        <w:rPr>
          <w:noProof/>
        </w:rPr>
        <w:drawing>
          <wp:inline distT="0" distB="0" distL="0" distR="0" wp14:anchorId="36162C5C" wp14:editId="0BB08F14">
            <wp:extent cx="701040" cy="131064"/>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2"/>
                    <a:stretch>
                      <a:fillRect/>
                    </a:stretch>
                  </pic:blipFill>
                  <pic:spPr>
                    <a:xfrm>
                      <a:off x="0" y="0"/>
                      <a:ext cx="701040" cy="131064"/>
                    </a:xfrm>
                    <a:prstGeom prst="rect">
                      <a:avLst/>
                    </a:prstGeom>
                  </pic:spPr>
                </pic:pic>
              </a:graphicData>
            </a:graphic>
          </wp:inline>
        </w:drawing>
      </w:r>
      <w:r>
        <w:rPr>
          <w:rFonts w:ascii="Arial" w:eastAsia="Arial" w:hAnsi="Arial" w:cs="Arial"/>
        </w:rPr>
        <w:t xml:space="preserve"> </w:t>
      </w:r>
      <w:r>
        <w:rPr>
          <w:rFonts w:ascii="Arial" w:eastAsia="Arial" w:hAnsi="Arial" w:cs="Arial"/>
        </w:rPr>
        <w:tab/>
      </w:r>
      <w:r w:rsidRPr="003D13EF">
        <w:rPr>
          <w:rFonts w:ascii="Franklin Gothic Medium" w:hAnsi="Franklin Gothic Medium"/>
        </w:rPr>
        <w:t>Definitions</w:t>
      </w:r>
      <w:r>
        <w:t xml:space="preserve">  </w:t>
      </w:r>
    </w:p>
    <w:p w14:paraId="07E1B586" w14:textId="601489D0" w:rsidR="002E1C02" w:rsidRPr="003D13EF" w:rsidRDefault="004D7607">
      <w:pPr>
        <w:numPr>
          <w:ilvl w:val="0"/>
          <w:numId w:val="1"/>
        </w:numPr>
        <w:spacing w:after="301"/>
        <w:ind w:right="22" w:hanging="360"/>
      </w:pPr>
      <w:r w:rsidRPr="00B35D8E">
        <w:rPr>
          <w:rFonts w:ascii="Franklin Gothic Demi" w:eastAsia="Franklin Gothic" w:hAnsi="Franklin Gothic Demi" w:cs="Franklin Gothic"/>
          <w:color w:val="325B94"/>
        </w:rPr>
        <w:t>“Counseling and guidance”</w:t>
      </w:r>
      <w:r w:rsidRPr="003D13EF">
        <w:t xml:space="preserve"> is the process in which the </w:t>
      </w:r>
      <w:r w:rsidR="002262B4" w:rsidRPr="003D13EF">
        <w:t>DBVI</w:t>
      </w:r>
      <w:r w:rsidRPr="003D13EF">
        <w:t xml:space="preserve"> counselor and the consumer form a working partnership to assist him/her to achieve an employment goal that is consistent with his/her unique strengths, resources, priorities, concerns, abilities, interests and informed choices</w:t>
      </w:r>
      <w:r w:rsidR="00A277BE" w:rsidRPr="003D13EF">
        <w:t xml:space="preserve">.  </w:t>
      </w:r>
      <w:r w:rsidRPr="003D13EF">
        <w:t xml:space="preserve"> </w:t>
      </w:r>
    </w:p>
    <w:p w14:paraId="78FD7944" w14:textId="1E2F9B73" w:rsidR="002E1C02" w:rsidRPr="003D13EF" w:rsidRDefault="004D7607">
      <w:pPr>
        <w:numPr>
          <w:ilvl w:val="0"/>
          <w:numId w:val="1"/>
        </w:numPr>
        <w:spacing w:after="299"/>
        <w:ind w:right="22" w:hanging="360"/>
      </w:pPr>
      <w:r w:rsidRPr="00B35D8E">
        <w:rPr>
          <w:rFonts w:ascii="Franklin Gothic Demi" w:eastAsia="Franklin Gothic" w:hAnsi="Franklin Gothic Demi" w:cs="Franklin Gothic"/>
          <w:color w:val="325B94"/>
        </w:rPr>
        <w:t>“Referral to other service providers”</w:t>
      </w:r>
      <w:r w:rsidRPr="003D13EF">
        <w:t xml:space="preserve"> refers to the process by which a D</w:t>
      </w:r>
      <w:r w:rsidR="002262B4" w:rsidRPr="003D13EF">
        <w:t>BVI</w:t>
      </w:r>
      <w:r w:rsidRPr="003D13EF">
        <w:t xml:space="preserve"> counselor may refer a person to another D</w:t>
      </w:r>
      <w:r w:rsidR="002262B4" w:rsidRPr="003D13EF">
        <w:t>BVI</w:t>
      </w:r>
      <w:r w:rsidRPr="003D13EF">
        <w:t xml:space="preserve"> staff person (</w:t>
      </w:r>
      <w:r w:rsidR="00CA0371">
        <w:t xml:space="preserve">i.e. AT trainer, AT counselor, </w:t>
      </w:r>
      <w:r w:rsidR="0069371E" w:rsidRPr="003D13EF">
        <w:t>b</w:t>
      </w:r>
      <w:r w:rsidRPr="003D13EF">
        <w:t xml:space="preserve">enefits </w:t>
      </w:r>
      <w:r w:rsidR="0069371E" w:rsidRPr="003D13EF">
        <w:t>c</w:t>
      </w:r>
      <w:r w:rsidRPr="003D13EF">
        <w:t xml:space="preserve">ounselor, </w:t>
      </w:r>
      <w:r w:rsidR="0069371E" w:rsidRPr="003D13EF">
        <w:t>employment consultant</w:t>
      </w:r>
      <w:r w:rsidRPr="003D13EF">
        <w:t>) or external provider (</w:t>
      </w:r>
      <w:r w:rsidR="00CA0371">
        <w:t xml:space="preserve">i.e. </w:t>
      </w:r>
      <w:r w:rsidRPr="003D13EF">
        <w:t>community rehabilitation providers, supported employment or other workforce development partner</w:t>
      </w:r>
      <w:r w:rsidR="00CA0371">
        <w:t>s</w:t>
      </w:r>
      <w:r w:rsidRPr="003D13EF">
        <w:t>) for specialized services</w:t>
      </w:r>
      <w:r w:rsidR="00A277BE" w:rsidRPr="003D13EF">
        <w:t xml:space="preserve">.  </w:t>
      </w:r>
      <w:r w:rsidRPr="003D13EF">
        <w:t xml:space="preserve"> </w:t>
      </w:r>
    </w:p>
    <w:p w14:paraId="2F22309F" w14:textId="5DDE6EF2" w:rsidR="002E1C02" w:rsidRPr="003D13EF" w:rsidRDefault="004D7607">
      <w:pPr>
        <w:numPr>
          <w:ilvl w:val="0"/>
          <w:numId w:val="1"/>
        </w:numPr>
        <w:spacing w:after="463"/>
        <w:ind w:right="22" w:hanging="360"/>
      </w:pPr>
      <w:r w:rsidRPr="00B35D8E">
        <w:rPr>
          <w:rFonts w:ascii="Franklin Gothic Demi" w:eastAsia="Franklin Gothic" w:hAnsi="Franklin Gothic Demi" w:cs="Franklin Gothic"/>
          <w:color w:val="325B94"/>
        </w:rPr>
        <w:t>“Other goods and services”</w:t>
      </w:r>
      <w:r w:rsidRPr="003D13EF">
        <w:t xml:space="preserve"> </w:t>
      </w:r>
      <w:proofErr w:type="gramStart"/>
      <w:r w:rsidRPr="003D13EF">
        <w:t>refers</w:t>
      </w:r>
      <w:proofErr w:type="gramEnd"/>
      <w:r w:rsidRPr="003D13EF">
        <w:t xml:space="preserve"> to any other services necessary for a person to achieve an employment goal that have not otherwise been defined and described in the D</w:t>
      </w:r>
      <w:r w:rsidR="002262B4" w:rsidRPr="003D13EF">
        <w:t>BVI</w:t>
      </w:r>
      <w:r w:rsidRPr="003D13EF">
        <w:t xml:space="preserve"> Policy and Procedures Manual</w:t>
      </w:r>
      <w:r w:rsidR="00A277BE" w:rsidRPr="003D13EF">
        <w:t xml:space="preserve">.  </w:t>
      </w:r>
      <w:r w:rsidRPr="003D13EF">
        <w:t xml:space="preserve"> </w:t>
      </w:r>
    </w:p>
    <w:p w14:paraId="4DB0149C" w14:textId="6C51E62B" w:rsidR="002E1C02" w:rsidRDefault="004D7607">
      <w:pPr>
        <w:pStyle w:val="Heading1"/>
        <w:ind w:left="-10"/>
      </w:pPr>
      <w:r>
        <w:rPr>
          <w:noProof/>
        </w:rPr>
        <w:lastRenderedPageBreak/>
        <w:drawing>
          <wp:inline distT="0" distB="0" distL="0" distR="0" wp14:anchorId="0F6DBAF3" wp14:editId="7FA9B718">
            <wp:extent cx="748284" cy="131064"/>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3"/>
                    <a:stretch>
                      <a:fillRect/>
                    </a:stretch>
                  </pic:blipFill>
                  <pic:spPr>
                    <a:xfrm>
                      <a:off x="0" y="0"/>
                      <a:ext cx="748284" cy="131064"/>
                    </a:xfrm>
                    <a:prstGeom prst="rect">
                      <a:avLst/>
                    </a:prstGeom>
                  </pic:spPr>
                </pic:pic>
              </a:graphicData>
            </a:graphic>
          </wp:inline>
        </w:drawing>
      </w:r>
      <w:r>
        <w:rPr>
          <w:rFonts w:ascii="Arial" w:eastAsia="Arial" w:hAnsi="Arial" w:cs="Arial"/>
        </w:rPr>
        <w:t xml:space="preserve"> </w:t>
      </w:r>
      <w:r w:rsidR="007D7FF3">
        <w:rPr>
          <w:rFonts w:ascii="Arial" w:eastAsia="Arial" w:hAnsi="Arial" w:cs="Arial"/>
        </w:rPr>
        <w:t xml:space="preserve"> </w:t>
      </w:r>
      <w:r w:rsidRPr="00B35D8E">
        <w:rPr>
          <w:rFonts w:ascii="Franklin Gothic Medium" w:hAnsi="Franklin Gothic Medium"/>
        </w:rPr>
        <w:t>Counseling and Guidance</w:t>
      </w:r>
      <w:r>
        <w:t xml:space="preserve">  </w:t>
      </w:r>
    </w:p>
    <w:p w14:paraId="1BE4AAD5" w14:textId="3E04F498" w:rsidR="0069371E" w:rsidRPr="003D13EF" w:rsidRDefault="004D7607">
      <w:pPr>
        <w:spacing w:after="313"/>
        <w:ind w:left="-15" w:right="22" w:firstLine="0"/>
      </w:pPr>
      <w:r w:rsidRPr="003D13EF">
        <w:t>A</w:t>
      </w:r>
      <w:r w:rsidR="00A277BE" w:rsidRPr="003D13EF">
        <w:t xml:space="preserve">.  </w:t>
      </w:r>
      <w:r w:rsidRPr="003D13EF">
        <w:t>Vermont D</w:t>
      </w:r>
      <w:r w:rsidR="0069371E" w:rsidRPr="003D13EF">
        <w:t>BVI</w:t>
      </w:r>
      <w:r w:rsidRPr="003D13EF">
        <w:t xml:space="preserve"> recognizes that counseling and guidance is a core vocational rehabilitation service</w:t>
      </w:r>
      <w:r w:rsidR="00A277BE" w:rsidRPr="003D13EF">
        <w:t xml:space="preserve">.  </w:t>
      </w:r>
      <w:r w:rsidRPr="003D13EF">
        <w:t>D</w:t>
      </w:r>
      <w:r w:rsidR="0069371E" w:rsidRPr="003D13EF">
        <w:t>BVI</w:t>
      </w:r>
      <w:r w:rsidRPr="003D13EF">
        <w:t xml:space="preserve"> also recognizes that the D</w:t>
      </w:r>
      <w:r w:rsidR="0069371E" w:rsidRPr="003D13EF">
        <w:t>BVI</w:t>
      </w:r>
      <w:r w:rsidRPr="003D13EF">
        <w:t xml:space="preserve"> counselor should provide counseling and guidance services throughout the rehabilitation process</w:t>
      </w:r>
      <w:r w:rsidR="00A277BE" w:rsidRPr="003D13EF">
        <w:t xml:space="preserve">.  </w:t>
      </w:r>
      <w:r w:rsidRPr="003D13EF">
        <w:t>D</w:t>
      </w:r>
      <w:r w:rsidR="0069371E" w:rsidRPr="003D13EF">
        <w:t>BVI</w:t>
      </w:r>
      <w:r w:rsidRPr="003D13EF">
        <w:t xml:space="preserve"> counselors use a strength-based approach to guidance and counseling that focuses on the consumers’ abilities, assets and potential rather than their limitations</w:t>
      </w:r>
      <w:r w:rsidR="00A277BE" w:rsidRPr="003D13EF">
        <w:t xml:space="preserve">.  </w:t>
      </w:r>
      <w:r w:rsidRPr="003D13EF">
        <w:t xml:space="preserve"> </w:t>
      </w:r>
    </w:p>
    <w:p w14:paraId="77137E22" w14:textId="4F942859" w:rsidR="002E1C02" w:rsidRPr="003D13EF" w:rsidRDefault="004D7607">
      <w:pPr>
        <w:spacing w:after="313"/>
        <w:ind w:left="-15" w:right="22" w:firstLine="0"/>
      </w:pPr>
      <w:r w:rsidRPr="003D13EF">
        <w:t>B</w:t>
      </w:r>
      <w:r w:rsidR="00A277BE" w:rsidRPr="003D13EF">
        <w:t xml:space="preserve">.  </w:t>
      </w:r>
      <w:r w:rsidRPr="003D13EF">
        <w:t xml:space="preserve">Guidance and counseling may include but is not limited to: </w:t>
      </w:r>
    </w:p>
    <w:p w14:paraId="41DAD9E9" w14:textId="0F46D6FB" w:rsidR="002E1C02" w:rsidRPr="003D13EF" w:rsidRDefault="004D7607">
      <w:pPr>
        <w:numPr>
          <w:ilvl w:val="0"/>
          <w:numId w:val="2"/>
        </w:numPr>
        <w:ind w:right="22" w:hanging="360"/>
      </w:pPr>
      <w:r w:rsidRPr="003D13EF">
        <w:t>Establishing a relationship of mutual respect, through which the D</w:t>
      </w:r>
      <w:r w:rsidR="00A277BE" w:rsidRPr="003D13EF">
        <w:t>BVI</w:t>
      </w:r>
      <w:r w:rsidRPr="003D13EF">
        <w:t xml:space="preserve"> counselor can encourage, support and challenge the consumer to achieve an employment goal</w:t>
      </w:r>
      <w:r w:rsidR="00A277BE" w:rsidRPr="003D13EF">
        <w:t xml:space="preserve">.  </w:t>
      </w:r>
      <w:r w:rsidRPr="003D13EF">
        <w:t xml:space="preserve"> </w:t>
      </w:r>
    </w:p>
    <w:p w14:paraId="03E6875B" w14:textId="6C02AE60" w:rsidR="002E1C02" w:rsidRPr="003D13EF" w:rsidRDefault="004D7607">
      <w:pPr>
        <w:numPr>
          <w:ilvl w:val="0"/>
          <w:numId w:val="2"/>
        </w:numPr>
        <w:ind w:right="22" w:hanging="360"/>
      </w:pPr>
      <w:r w:rsidRPr="003D13EF">
        <w:t>Assisting the individual to gain a comprehensive understanding and awareness of his/her unique abilities, interests, strengths, resources, priorities and concerns, in order to identify the factors that will be critical to the achievement of his/her vocational goal</w:t>
      </w:r>
      <w:r w:rsidR="00A277BE" w:rsidRPr="003D13EF">
        <w:t xml:space="preserve">.  </w:t>
      </w:r>
      <w:r w:rsidRPr="003D13EF">
        <w:t xml:space="preserve"> </w:t>
      </w:r>
    </w:p>
    <w:p w14:paraId="3DE35B04" w14:textId="70A7B0A1" w:rsidR="002E1C02" w:rsidRPr="003D13EF" w:rsidRDefault="004D7607">
      <w:pPr>
        <w:numPr>
          <w:ilvl w:val="0"/>
          <w:numId w:val="2"/>
        </w:numPr>
        <w:ind w:right="22" w:hanging="360"/>
      </w:pPr>
      <w:r w:rsidRPr="003D13EF">
        <w:t>Facilitating the individual’s understanding and awareness of his/her disability</w:t>
      </w:r>
      <w:r w:rsidR="00A277BE" w:rsidRPr="003D13EF">
        <w:t xml:space="preserve">.  </w:t>
      </w:r>
      <w:r w:rsidR="00464443" w:rsidRPr="003D13EF">
        <w:t>Help</w:t>
      </w:r>
      <w:r w:rsidRPr="003D13EF">
        <w:t xml:space="preserve"> the person find ways to work around and/or accommodate any disability related barriers to their employment goal</w:t>
      </w:r>
      <w:r w:rsidR="00A277BE" w:rsidRPr="003D13EF">
        <w:t xml:space="preserve">.  </w:t>
      </w:r>
      <w:r w:rsidRPr="003D13EF">
        <w:t xml:space="preserve"> </w:t>
      </w:r>
    </w:p>
    <w:p w14:paraId="562781B1" w14:textId="4E5A6677" w:rsidR="002E1C02" w:rsidRPr="003D13EF" w:rsidRDefault="004D7607">
      <w:pPr>
        <w:numPr>
          <w:ilvl w:val="0"/>
          <w:numId w:val="2"/>
        </w:numPr>
        <w:ind w:right="22" w:hanging="360"/>
      </w:pPr>
      <w:r w:rsidRPr="003D13EF">
        <w:t>Ensuring the consumer has adequate information to make fully informed choices about his/her employment goals and vocational services</w:t>
      </w:r>
      <w:r w:rsidR="00A277BE" w:rsidRPr="003D13EF">
        <w:t xml:space="preserve">.  </w:t>
      </w:r>
      <w:r w:rsidRPr="003D13EF">
        <w:t xml:space="preserve"> </w:t>
      </w:r>
    </w:p>
    <w:p w14:paraId="44A749F4" w14:textId="5E29BC36" w:rsidR="002E1C02" w:rsidRPr="003D13EF" w:rsidRDefault="004D7607">
      <w:pPr>
        <w:numPr>
          <w:ilvl w:val="0"/>
          <w:numId w:val="2"/>
        </w:numPr>
        <w:ind w:right="22" w:hanging="360"/>
      </w:pPr>
      <w:r w:rsidRPr="003D13EF">
        <w:t>Helping the consumer address and work around any personal, health, economic, benefits-related, or social issues that may be an impediment to achieving their vocational goal</w:t>
      </w:r>
      <w:r w:rsidR="00A277BE" w:rsidRPr="003D13EF">
        <w:t xml:space="preserve">.  </w:t>
      </w:r>
      <w:r w:rsidRPr="003D13EF">
        <w:t xml:space="preserve"> </w:t>
      </w:r>
    </w:p>
    <w:p w14:paraId="60CCE9A2" w14:textId="12AB652D" w:rsidR="002E1C02" w:rsidRPr="003D13EF" w:rsidRDefault="004D7607">
      <w:pPr>
        <w:numPr>
          <w:ilvl w:val="0"/>
          <w:numId w:val="2"/>
        </w:numPr>
        <w:ind w:right="22" w:hanging="360"/>
      </w:pPr>
      <w:r w:rsidRPr="003D13EF">
        <w:t>Involving significant others (with the consumer’s consent) such as family members, relatives, and friends in the community who can support the individual and at times provide valuable resources towards the vocational goal</w:t>
      </w:r>
      <w:r w:rsidR="00A277BE" w:rsidRPr="003D13EF">
        <w:t xml:space="preserve">.  </w:t>
      </w:r>
    </w:p>
    <w:p w14:paraId="302BDD72" w14:textId="61879CEE" w:rsidR="002E1C02" w:rsidRPr="003D13EF" w:rsidRDefault="004D7607">
      <w:pPr>
        <w:numPr>
          <w:ilvl w:val="0"/>
          <w:numId w:val="2"/>
        </w:numPr>
        <w:ind w:right="22" w:hanging="360"/>
      </w:pPr>
      <w:r w:rsidRPr="003D13EF">
        <w:t>Providing follow along services that are not intrusive but continue to support the achievement of a long-term vocational outcome</w:t>
      </w:r>
      <w:r w:rsidR="00A277BE" w:rsidRPr="003D13EF">
        <w:t xml:space="preserve">.  </w:t>
      </w:r>
      <w:r w:rsidRPr="003D13EF">
        <w:t xml:space="preserve"> </w:t>
      </w:r>
    </w:p>
    <w:p w14:paraId="1DDB1FFB" w14:textId="44A14F72" w:rsidR="002E1C02" w:rsidRPr="003D13EF" w:rsidRDefault="004D7607">
      <w:pPr>
        <w:numPr>
          <w:ilvl w:val="0"/>
          <w:numId w:val="2"/>
        </w:numPr>
        <w:spacing w:after="466"/>
        <w:ind w:right="22" w:hanging="360"/>
      </w:pPr>
      <w:r w:rsidRPr="003D13EF">
        <w:t>Encouraging self-reliance by teaching the consumer how to find information about and access available community resources</w:t>
      </w:r>
      <w:r w:rsidR="00A277BE" w:rsidRPr="003D13EF">
        <w:t xml:space="preserve">.  </w:t>
      </w:r>
      <w:r w:rsidRPr="003D13EF">
        <w:t>Provide guidance to the individual about how to tap into natural workplace supports and/or other community networks to promote independence beyond the provision of vocational rehabilitation services</w:t>
      </w:r>
      <w:r w:rsidR="00A277BE" w:rsidRPr="003D13EF">
        <w:t xml:space="preserve">.  </w:t>
      </w:r>
      <w:r w:rsidRPr="003D13EF">
        <w:t xml:space="preserve"> </w:t>
      </w:r>
    </w:p>
    <w:p w14:paraId="7A66912F" w14:textId="7E187A4A" w:rsidR="002E1C02" w:rsidRDefault="004D7607">
      <w:pPr>
        <w:pStyle w:val="Heading1"/>
        <w:ind w:left="-10"/>
      </w:pPr>
      <w:r>
        <w:rPr>
          <w:noProof/>
        </w:rPr>
        <w:drawing>
          <wp:inline distT="0" distB="0" distL="0" distR="0" wp14:anchorId="2CE2041D" wp14:editId="75C491B1">
            <wp:extent cx="795528" cy="131064"/>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4"/>
                    <a:stretch>
                      <a:fillRect/>
                    </a:stretch>
                  </pic:blipFill>
                  <pic:spPr>
                    <a:xfrm>
                      <a:off x="0" y="0"/>
                      <a:ext cx="795528" cy="131064"/>
                    </a:xfrm>
                    <a:prstGeom prst="rect">
                      <a:avLst/>
                    </a:prstGeom>
                  </pic:spPr>
                </pic:pic>
              </a:graphicData>
            </a:graphic>
          </wp:inline>
        </w:drawing>
      </w:r>
      <w:r w:rsidR="003D13EF">
        <w:rPr>
          <w:rFonts w:ascii="Arial" w:eastAsia="Arial" w:hAnsi="Arial" w:cs="Arial"/>
        </w:rPr>
        <w:t xml:space="preserve">  </w:t>
      </w:r>
      <w:r w:rsidRPr="003D13EF">
        <w:rPr>
          <w:rFonts w:ascii="Franklin Gothic Medium" w:hAnsi="Franklin Gothic Medium"/>
        </w:rPr>
        <w:t>Referral to Other Service Providers</w:t>
      </w:r>
      <w:r>
        <w:t xml:space="preserve"> </w:t>
      </w:r>
    </w:p>
    <w:p w14:paraId="4BDCB055" w14:textId="34C14772" w:rsidR="002E1C02" w:rsidRPr="004D7607" w:rsidRDefault="004D7607">
      <w:pPr>
        <w:numPr>
          <w:ilvl w:val="0"/>
          <w:numId w:val="3"/>
        </w:numPr>
        <w:spacing w:after="302"/>
        <w:ind w:right="22" w:hanging="360"/>
        <w:rPr>
          <w:b/>
          <w:bCs/>
        </w:rPr>
      </w:pPr>
      <w:r>
        <w:t>During the rehabilitation process, when appropriate, the DBVI counselor will refer a consumer to other specialized services to assist the individual to achieve the vocational goal</w:t>
      </w:r>
      <w:r w:rsidR="00A277BE">
        <w:t xml:space="preserve">.  </w:t>
      </w:r>
      <w:r>
        <w:t>Such services may be provided internally by DBVI staff (</w:t>
      </w:r>
      <w:r w:rsidR="00B35D8E">
        <w:t xml:space="preserve">i.e. VABIR, CWS, </w:t>
      </w:r>
      <w:r>
        <w:t>benefits counseling, AT trainer</w:t>
      </w:r>
      <w:r w:rsidR="00B35D8E">
        <w:t>, AT consultant</w:t>
      </w:r>
      <w:r>
        <w:t xml:space="preserve">) and/or by external organizations such as </w:t>
      </w:r>
      <w:r w:rsidR="00B35D8E">
        <w:t xml:space="preserve">Vermont </w:t>
      </w:r>
      <w:r w:rsidR="00B35D8E">
        <w:lastRenderedPageBreak/>
        <w:t>Association for the Blind and Visually Impaired, Department of Labor, Vermont Center for Independent Living, Social Security Administration</w:t>
      </w:r>
      <w:r>
        <w:t xml:space="preserve"> or supported employment providers</w:t>
      </w:r>
      <w:r w:rsidR="00A277BE">
        <w:t xml:space="preserve">.  </w:t>
      </w:r>
      <w:r>
        <w:t>All such services must be listed on the IPE and meet the requirements outlined in DBVI Chapter 2, Individualized Plan for Employment, of the DBVI Policy and Procedure Manual</w:t>
      </w:r>
      <w:r w:rsidR="00A277BE">
        <w:t xml:space="preserve">.  </w:t>
      </w:r>
      <w:r>
        <w:t xml:space="preserve">When making referrals to external providers, DBVI staff will abide by all </w:t>
      </w:r>
      <w:r w:rsidR="0047552B">
        <w:t xml:space="preserve">agency </w:t>
      </w:r>
      <w:r>
        <w:t>confidentiality requirements</w:t>
      </w:r>
      <w:r w:rsidR="0047552B">
        <w:t xml:space="preserve"> and any federal or state laws governing the source or type of information requested or released</w:t>
      </w:r>
      <w:r w:rsidR="00B35D8E">
        <w:t>.</w:t>
      </w:r>
      <w:r w:rsidR="00A277BE" w:rsidRPr="004D7607">
        <w:rPr>
          <w:b/>
          <w:bCs/>
        </w:rPr>
        <w:t xml:space="preserve">  </w:t>
      </w:r>
      <w:r w:rsidRPr="004D7607">
        <w:rPr>
          <w:b/>
          <w:bCs/>
        </w:rPr>
        <w:t xml:space="preserve"> </w:t>
      </w:r>
    </w:p>
    <w:p w14:paraId="6C659B3F" w14:textId="3DE5FAEF" w:rsidR="002E1C02" w:rsidRDefault="004D7607">
      <w:pPr>
        <w:numPr>
          <w:ilvl w:val="0"/>
          <w:numId w:val="3"/>
        </w:numPr>
        <w:spacing w:after="302"/>
        <w:ind w:right="22" w:hanging="360"/>
      </w:pPr>
      <w:r>
        <w:t>To ensure the best possible outcome</w:t>
      </w:r>
      <w:r w:rsidR="00E342C5">
        <w:t>,</w:t>
      </w:r>
      <w:r>
        <w:t xml:space="preserve"> it is very important that specialized services are well coordinated between the DBVI counselor and the other service providers</w:t>
      </w:r>
      <w:r w:rsidR="00A277BE">
        <w:t xml:space="preserve">.  </w:t>
      </w:r>
      <w:r>
        <w:t>To accomplish this, the DBVI counselor will have frequent and ongoing communication with the other service providers</w:t>
      </w:r>
      <w:r w:rsidR="00A277BE">
        <w:t xml:space="preserve">.  </w:t>
      </w:r>
      <w:r>
        <w:t>The DBVI counselor will work in collaboration with partnering service providers and work to ensure all the professional staff involved with the individual are aligned and working together effectively</w:t>
      </w:r>
      <w:r w:rsidR="00A277BE">
        <w:t xml:space="preserve">.  </w:t>
      </w:r>
      <w:r>
        <w:t xml:space="preserve"> </w:t>
      </w:r>
    </w:p>
    <w:p w14:paraId="1101AF15" w14:textId="41C6B6C7" w:rsidR="002E1C02" w:rsidRDefault="004D7607">
      <w:pPr>
        <w:numPr>
          <w:ilvl w:val="0"/>
          <w:numId w:val="3"/>
        </w:numPr>
        <w:spacing w:after="298"/>
        <w:ind w:right="22" w:hanging="360"/>
      </w:pPr>
      <w:r>
        <w:t>The following are requirements for referral and collaboration with other service providers included in the plan for employment</w:t>
      </w:r>
      <w:r w:rsidR="00A277BE">
        <w:t xml:space="preserve">.  </w:t>
      </w:r>
      <w:r>
        <w:t xml:space="preserve">The DBVI counselor, with consumer consent, will provide to the service provider:  </w:t>
      </w:r>
    </w:p>
    <w:p w14:paraId="08A68163" w14:textId="77777777" w:rsidR="002E1C02" w:rsidRDefault="004D7607">
      <w:pPr>
        <w:numPr>
          <w:ilvl w:val="1"/>
          <w:numId w:val="3"/>
        </w:numPr>
        <w:ind w:right="22" w:hanging="360"/>
      </w:pPr>
      <w:r>
        <w:t xml:space="preserve">Consumer’s contact information  </w:t>
      </w:r>
    </w:p>
    <w:p w14:paraId="76BE74C0" w14:textId="77777777" w:rsidR="002E1C02" w:rsidRDefault="004D7607">
      <w:pPr>
        <w:numPr>
          <w:ilvl w:val="1"/>
          <w:numId w:val="3"/>
        </w:numPr>
        <w:ind w:right="22" w:hanging="360"/>
      </w:pPr>
      <w:r>
        <w:t xml:space="preserve">Detailed information on the purpose of the referral as it relates to the person’s employment goal </w:t>
      </w:r>
    </w:p>
    <w:p w14:paraId="0391D607" w14:textId="47B6680A" w:rsidR="002E1C02" w:rsidRDefault="004D7607">
      <w:pPr>
        <w:numPr>
          <w:ilvl w:val="1"/>
          <w:numId w:val="3"/>
        </w:numPr>
        <w:ind w:right="22" w:hanging="360"/>
      </w:pPr>
      <w:r>
        <w:t>As appropriate, any information regarding the individual’s interests, strengths, priorities, resources, and concerns as necessary for the service provider to assist the person achieve his/her employment goal</w:t>
      </w:r>
      <w:r w:rsidR="00A277BE">
        <w:t xml:space="preserve">.  </w:t>
      </w:r>
    </w:p>
    <w:p w14:paraId="0CCC69CB" w14:textId="20012259" w:rsidR="002E1C02" w:rsidRDefault="004D7607">
      <w:pPr>
        <w:numPr>
          <w:ilvl w:val="1"/>
          <w:numId w:val="3"/>
        </w:numPr>
        <w:spacing w:after="297"/>
        <w:ind w:right="22" w:hanging="360"/>
      </w:pPr>
      <w:r>
        <w:t>As appropriate, any medical or diagnostic information that may be important for the service provider to know prior to providing services</w:t>
      </w:r>
      <w:r w:rsidR="00A277BE">
        <w:t xml:space="preserve">.  </w:t>
      </w:r>
      <w:r>
        <w:t xml:space="preserve"> </w:t>
      </w:r>
    </w:p>
    <w:p w14:paraId="19033A69" w14:textId="55767A43" w:rsidR="002E1C02" w:rsidRDefault="004D7607">
      <w:pPr>
        <w:numPr>
          <w:ilvl w:val="0"/>
          <w:numId w:val="3"/>
        </w:numPr>
        <w:spacing w:after="299"/>
        <w:ind w:right="22" w:hanging="360"/>
      </w:pPr>
      <w:r>
        <w:t xml:space="preserve">In many circumstances, it may be a best practice for the consumer, DBVI counselor and service provider to meet as a support team to outline the purpose of the </w:t>
      </w:r>
      <w:r w:rsidR="00464443">
        <w:t>services and</w:t>
      </w:r>
      <w:r>
        <w:t xml:space="preserve"> describe the respective roles of the DBV</w:t>
      </w:r>
      <w:r w:rsidR="00E342C5">
        <w:t>I</w:t>
      </w:r>
      <w:r>
        <w:t xml:space="preserve"> counselor and service provider</w:t>
      </w:r>
      <w:r w:rsidR="00A277BE">
        <w:t xml:space="preserve">.  </w:t>
      </w:r>
      <w:r>
        <w:t>This will ensure the consumer understands the respective roles and has clear expectations about what each party will provide</w:t>
      </w:r>
      <w:r w:rsidR="00A277BE">
        <w:t xml:space="preserve">.  </w:t>
      </w:r>
      <w:r>
        <w:t xml:space="preserve"> </w:t>
      </w:r>
    </w:p>
    <w:p w14:paraId="30E62965" w14:textId="77777777" w:rsidR="00E342C5" w:rsidRDefault="004D7607">
      <w:pPr>
        <w:numPr>
          <w:ilvl w:val="0"/>
          <w:numId w:val="3"/>
        </w:numPr>
        <w:ind w:right="22" w:hanging="360"/>
      </w:pPr>
      <w:r>
        <w:t>The DBVI counselor is encouraged to, or as needed, maintain regular contact with the service provider(s) to monitor progress and facilitate ongoing communication</w:t>
      </w:r>
      <w:r w:rsidR="00A277BE">
        <w:t xml:space="preserve">.  </w:t>
      </w:r>
    </w:p>
    <w:p w14:paraId="2BE48152" w14:textId="1D11047E" w:rsidR="002E1C02" w:rsidRDefault="004D7607" w:rsidP="00E342C5">
      <w:pPr>
        <w:ind w:left="360" w:right="22" w:firstLine="0"/>
      </w:pPr>
      <w:r>
        <w:t xml:space="preserve"> </w:t>
      </w:r>
    </w:p>
    <w:p w14:paraId="784202F3" w14:textId="2F7CE839" w:rsidR="002E1C02" w:rsidRDefault="004D7607">
      <w:pPr>
        <w:numPr>
          <w:ilvl w:val="0"/>
          <w:numId w:val="3"/>
        </w:numPr>
        <w:spacing w:after="226"/>
        <w:ind w:right="22" w:hanging="360"/>
      </w:pPr>
      <w:r>
        <w:t>The DBVI counselor is encouraged to, or as needed, integrate information and expertise provided by the other service providers into the rehabilitation counseling process</w:t>
      </w:r>
      <w:r w:rsidR="00A277BE">
        <w:t xml:space="preserve">.  </w:t>
      </w:r>
      <w:r>
        <w:t xml:space="preserve">The following are some case examples:  </w:t>
      </w:r>
    </w:p>
    <w:p w14:paraId="17780E27" w14:textId="391B3F79" w:rsidR="002E1C02" w:rsidRDefault="004D7607">
      <w:pPr>
        <w:spacing w:after="227"/>
        <w:ind w:left="360" w:right="22" w:firstLine="0"/>
      </w:pPr>
      <w:r w:rsidRPr="00E342C5">
        <w:rPr>
          <w:rFonts w:ascii="Franklin Gothic Medium" w:eastAsia="Franklin Gothic" w:hAnsi="Franklin Gothic Medium" w:cs="Franklin Gothic"/>
          <w:color w:val="325B94"/>
        </w:rPr>
        <w:lastRenderedPageBreak/>
        <w:t>Example one</w:t>
      </w:r>
      <w:r>
        <w:t>: An individual who is an SSI beneficiary may initially limit his or her employment and earnings goal, based on concerns about loss of cash and healthcare benefits</w:t>
      </w:r>
      <w:r w:rsidR="00A277BE">
        <w:t xml:space="preserve">.  </w:t>
      </w:r>
      <w:r>
        <w:t>Consultation with a benefits counselor may reveal that these concerns are based on inaccurate information and the individual may be eligible for work incentives that will improve their overall financial circumstances</w:t>
      </w:r>
      <w:r w:rsidR="00A277BE">
        <w:t xml:space="preserve">.  </w:t>
      </w:r>
      <w:r>
        <w:t>As a result, the DBVI counselor may encourage the consumer to adjust his/her employment goal</w:t>
      </w:r>
      <w:r w:rsidR="00A277BE">
        <w:t xml:space="preserve">.  </w:t>
      </w:r>
      <w:r>
        <w:t xml:space="preserve"> </w:t>
      </w:r>
    </w:p>
    <w:p w14:paraId="73C3BAF7" w14:textId="32FC24C7" w:rsidR="002E1C02" w:rsidRDefault="004D7607">
      <w:pPr>
        <w:spacing w:after="465"/>
        <w:ind w:left="360" w:right="22" w:firstLine="0"/>
      </w:pPr>
      <w:r w:rsidRPr="00E342C5">
        <w:rPr>
          <w:rFonts w:ascii="Franklin Gothic Medium" w:eastAsia="Franklin Gothic" w:hAnsi="Franklin Gothic Medium" w:cs="Franklin Gothic"/>
          <w:color w:val="325B94"/>
        </w:rPr>
        <w:t>Example two</w:t>
      </w:r>
      <w:r>
        <w:t>: A DBVI consumer may have an employment goal that requires significant interaction with the clients of a business</w:t>
      </w:r>
      <w:r w:rsidR="00A277BE">
        <w:t xml:space="preserve">.  </w:t>
      </w:r>
      <w:r>
        <w:t>However, consultation with a community rehabilitation provider’s job developer may reveal the individual experiences significant anxiety when interacting with business clients</w:t>
      </w:r>
      <w:r w:rsidR="00A277BE">
        <w:t xml:space="preserve">.  </w:t>
      </w:r>
      <w:r>
        <w:t>The DBVI counselor may use such feedback to help the consumer reconsider their employment goal</w:t>
      </w:r>
      <w:r w:rsidR="00A277BE">
        <w:t xml:space="preserve">.  </w:t>
      </w:r>
      <w:r>
        <w:t xml:space="preserve"> </w:t>
      </w:r>
    </w:p>
    <w:p w14:paraId="36E89CE7" w14:textId="3C1AC9A2" w:rsidR="002E1C02" w:rsidRDefault="004D7607">
      <w:pPr>
        <w:pStyle w:val="Heading1"/>
        <w:ind w:left="-10"/>
      </w:pPr>
      <w:r>
        <w:rPr>
          <w:noProof/>
        </w:rPr>
        <w:drawing>
          <wp:inline distT="0" distB="0" distL="0" distR="0" wp14:anchorId="1116263E" wp14:editId="19C5E494">
            <wp:extent cx="797052" cy="131064"/>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5"/>
                    <a:stretch>
                      <a:fillRect/>
                    </a:stretch>
                  </pic:blipFill>
                  <pic:spPr>
                    <a:xfrm>
                      <a:off x="0" y="0"/>
                      <a:ext cx="797052" cy="131064"/>
                    </a:xfrm>
                    <a:prstGeom prst="rect">
                      <a:avLst/>
                    </a:prstGeom>
                  </pic:spPr>
                </pic:pic>
              </a:graphicData>
            </a:graphic>
          </wp:inline>
        </w:drawing>
      </w:r>
      <w:r w:rsidR="003D13EF">
        <w:rPr>
          <w:rFonts w:ascii="Arial" w:eastAsia="Arial" w:hAnsi="Arial" w:cs="Arial"/>
        </w:rPr>
        <w:t xml:space="preserve"> </w:t>
      </w:r>
      <w:r>
        <w:rPr>
          <w:rFonts w:ascii="Arial" w:eastAsia="Arial" w:hAnsi="Arial" w:cs="Arial"/>
        </w:rPr>
        <w:t xml:space="preserve"> </w:t>
      </w:r>
      <w:r w:rsidRPr="003D13EF">
        <w:rPr>
          <w:rFonts w:ascii="Franklin Gothic Medium" w:hAnsi="Franklin Gothic Medium"/>
        </w:rPr>
        <w:t>Other Goods and Services</w:t>
      </w:r>
      <w:r>
        <w:t xml:space="preserve">  </w:t>
      </w:r>
    </w:p>
    <w:p w14:paraId="14D81779" w14:textId="6AB6137B" w:rsidR="002E1C02" w:rsidRDefault="004D7607">
      <w:pPr>
        <w:ind w:left="355" w:right="22"/>
      </w:pPr>
      <w:r>
        <w:t>A</w:t>
      </w:r>
      <w:r w:rsidR="00A277BE">
        <w:t xml:space="preserve">.  </w:t>
      </w:r>
      <w:r>
        <w:t>The DBVI counselor can provide or purchase any other goods or services necessary for a person to achieve an employment goal that has not otherwise been defined and described in the DBVI Policy and Procedures manual</w:t>
      </w:r>
      <w:r w:rsidR="00A277BE">
        <w:t xml:space="preserve">.  </w:t>
      </w:r>
      <w:r>
        <w:t>The DBVI counselor must describe in the IPE why the goods or services are necessary for the individual to achieve an employment outcome</w:t>
      </w:r>
      <w:r w:rsidR="00A277BE">
        <w:t xml:space="preserve">.  </w:t>
      </w:r>
      <w:r>
        <w:t>The DBVI counselor must ensure the cost of goods and services are reasonable and typical</w:t>
      </w:r>
      <w:r w:rsidR="00A277BE">
        <w:t xml:space="preserve">.  </w:t>
      </w:r>
      <w:r>
        <w:t>Purchases provided under this section that exceed $500 must be approved by the Division Director prior to the purchase</w:t>
      </w:r>
      <w:r w:rsidR="00A277BE">
        <w:t xml:space="preserve">.  </w:t>
      </w:r>
      <w:r>
        <w:t xml:space="preserve"> </w:t>
      </w:r>
    </w:p>
    <w:sectPr w:rsidR="002E1C02">
      <w:headerReference w:type="even" r:id="rId16"/>
      <w:headerReference w:type="default" r:id="rId17"/>
      <w:footerReference w:type="even" r:id="rId18"/>
      <w:footerReference w:type="default" r:id="rId19"/>
      <w:headerReference w:type="first" r:id="rId20"/>
      <w:footerReference w:type="first" r:id="rId21"/>
      <w:pgSz w:w="12240" w:h="15840"/>
      <w:pgMar w:top="1467" w:right="1451" w:bottom="1921" w:left="1440" w:header="749"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8A51" w14:textId="77777777" w:rsidR="006808B1" w:rsidRDefault="004D7607">
      <w:pPr>
        <w:spacing w:after="0" w:line="240" w:lineRule="auto"/>
      </w:pPr>
      <w:r>
        <w:separator/>
      </w:r>
    </w:p>
  </w:endnote>
  <w:endnote w:type="continuationSeparator" w:id="0">
    <w:p w14:paraId="2D33782F" w14:textId="77777777" w:rsidR="006808B1" w:rsidRDefault="004D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A024" w14:textId="77777777" w:rsidR="002E1C02" w:rsidRDefault="004D7607">
    <w:pPr>
      <w:tabs>
        <w:tab w:val="right" w:pos="9349"/>
      </w:tabs>
      <w:spacing w:after="0" w:line="259" w:lineRule="auto"/>
      <w:ind w:left="0" w:right="-11" w:firstLine="0"/>
    </w:pPr>
    <w:r>
      <w:rPr>
        <w:rFonts w:ascii="Franklin Gothic" w:eastAsia="Franklin Gothic" w:hAnsi="Franklin Gothic" w:cs="Franklin Gothic"/>
      </w:rPr>
      <w:t xml:space="preserve">Policy and Procedures Manual | Division of Vocational Rehabilitation | State of Vermont </w:t>
    </w:r>
    <w:r>
      <w:rPr>
        <w:rFonts w:ascii="Franklin Gothic" w:eastAsia="Franklin Gothic" w:hAnsi="Franklin Gothic" w:cs="Franklin Gothic"/>
      </w:rPr>
      <w:tab/>
      <w:t xml:space="preserve">page </w:t>
    </w:r>
    <w:r>
      <w:fldChar w:fldCharType="begin"/>
    </w:r>
    <w:r>
      <w:instrText xml:space="preserve"> PAGE   \* MERGEFORMAT </w:instrText>
    </w:r>
    <w:r>
      <w:fldChar w:fldCharType="separate"/>
    </w:r>
    <w:r>
      <w:rPr>
        <w:rFonts w:ascii="Franklin Gothic" w:eastAsia="Franklin Gothic" w:hAnsi="Franklin Gothic" w:cs="Franklin Gothic"/>
      </w:rPr>
      <w:t>1</w:t>
    </w:r>
    <w:r>
      <w:rPr>
        <w:rFonts w:ascii="Franklin Gothic" w:eastAsia="Franklin Gothic" w:hAnsi="Franklin Gothic" w:cs="Franklin Gothic"/>
      </w:rPr>
      <w:fldChar w:fldCharType="end"/>
    </w:r>
    <w:r>
      <w:rPr>
        <w:rFonts w:ascii="Franklin Gothic" w:eastAsia="Franklin Gothic" w:hAnsi="Franklin Gothic" w:cs="Franklin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715E" w14:textId="67031B7E" w:rsidR="002E1C02" w:rsidRPr="00375D92" w:rsidRDefault="004D7607">
    <w:pPr>
      <w:tabs>
        <w:tab w:val="right" w:pos="9349"/>
      </w:tabs>
      <w:spacing w:after="0" w:line="259" w:lineRule="auto"/>
      <w:ind w:left="0" w:right="-11" w:firstLine="0"/>
      <w:rPr>
        <w:rFonts w:ascii="Franklin Gothic Medium Cond" w:hAnsi="Franklin Gothic Medium Cond"/>
        <w:szCs w:val="24"/>
      </w:rPr>
    </w:pPr>
    <w:r w:rsidRPr="00375D92">
      <w:rPr>
        <w:rFonts w:ascii="Franklin Gothic Medium Cond" w:eastAsia="Franklin Gothic" w:hAnsi="Franklin Gothic Medium Cond" w:cs="Franklin Gothic"/>
        <w:szCs w:val="24"/>
      </w:rPr>
      <w:t>Policy and Procedures Manual |</w:t>
    </w:r>
    <w:r w:rsidR="006D7021" w:rsidRPr="00375D92">
      <w:rPr>
        <w:rFonts w:ascii="Franklin Gothic Medium Cond" w:eastAsia="Franklin Gothic" w:hAnsi="Franklin Gothic Medium Cond" w:cs="Franklin Gothic"/>
        <w:szCs w:val="24"/>
      </w:rPr>
      <w:t xml:space="preserve"> </w:t>
    </w:r>
    <w:r w:rsidRPr="00375D92">
      <w:rPr>
        <w:rFonts w:ascii="Franklin Gothic Medium Cond" w:eastAsia="Franklin Gothic" w:hAnsi="Franklin Gothic Medium Cond" w:cs="Franklin Gothic"/>
        <w:szCs w:val="24"/>
      </w:rPr>
      <w:t xml:space="preserve">Vermont </w:t>
    </w:r>
    <w:r w:rsidR="006D7021" w:rsidRPr="00375D92">
      <w:rPr>
        <w:rFonts w:ascii="Franklin Gothic Medium Cond" w:eastAsia="Franklin Gothic" w:hAnsi="Franklin Gothic Medium Cond" w:cs="Franklin Gothic"/>
        <w:szCs w:val="24"/>
      </w:rPr>
      <w:t>Division for the Blind and Visually Impaired</w:t>
    </w:r>
    <w:r w:rsidRPr="00375D92">
      <w:rPr>
        <w:rFonts w:ascii="Franklin Gothic Medium Cond" w:eastAsia="Franklin Gothic" w:hAnsi="Franklin Gothic Medium Cond" w:cs="Franklin Gothic"/>
        <w:szCs w:val="24"/>
      </w:rPr>
      <w:tab/>
      <w:t xml:space="preserve">page </w:t>
    </w:r>
    <w:r w:rsidRPr="00375D92">
      <w:rPr>
        <w:rFonts w:ascii="Franklin Gothic Medium Cond" w:hAnsi="Franklin Gothic Medium Cond"/>
        <w:szCs w:val="24"/>
      </w:rPr>
      <w:fldChar w:fldCharType="begin"/>
    </w:r>
    <w:r w:rsidRPr="00375D92">
      <w:rPr>
        <w:rFonts w:ascii="Franklin Gothic Medium Cond" w:hAnsi="Franklin Gothic Medium Cond"/>
        <w:szCs w:val="24"/>
      </w:rPr>
      <w:instrText xml:space="preserve"> PAGE   \* MERGEFORMAT </w:instrText>
    </w:r>
    <w:r w:rsidRPr="00375D92">
      <w:rPr>
        <w:rFonts w:ascii="Franklin Gothic Medium Cond" w:hAnsi="Franklin Gothic Medium Cond"/>
        <w:szCs w:val="24"/>
      </w:rPr>
      <w:fldChar w:fldCharType="separate"/>
    </w:r>
    <w:r w:rsidRPr="00375D92">
      <w:rPr>
        <w:rFonts w:ascii="Franklin Gothic Medium Cond" w:eastAsia="Franklin Gothic" w:hAnsi="Franklin Gothic Medium Cond" w:cs="Franklin Gothic"/>
        <w:szCs w:val="24"/>
      </w:rPr>
      <w:t>1</w:t>
    </w:r>
    <w:r w:rsidRPr="00375D92">
      <w:rPr>
        <w:rFonts w:ascii="Franklin Gothic Medium Cond" w:eastAsia="Franklin Gothic" w:hAnsi="Franklin Gothic Medium Cond" w:cs="Franklin Gothic"/>
        <w:szCs w:val="24"/>
      </w:rPr>
      <w:fldChar w:fldCharType="end"/>
    </w:r>
    <w:r w:rsidRPr="00375D92">
      <w:rPr>
        <w:rFonts w:ascii="Franklin Gothic Medium Cond" w:eastAsia="Franklin Gothic" w:hAnsi="Franklin Gothic Medium Cond" w:cs="Franklin Gothic"/>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473FD" w14:textId="77777777" w:rsidR="002E1C02" w:rsidRDefault="004D7607">
    <w:pPr>
      <w:tabs>
        <w:tab w:val="right" w:pos="9349"/>
      </w:tabs>
      <w:spacing w:after="0" w:line="259" w:lineRule="auto"/>
      <w:ind w:left="0" w:right="-11" w:firstLine="0"/>
    </w:pPr>
    <w:r>
      <w:rPr>
        <w:rFonts w:ascii="Franklin Gothic" w:eastAsia="Franklin Gothic" w:hAnsi="Franklin Gothic" w:cs="Franklin Gothic"/>
      </w:rPr>
      <w:t xml:space="preserve">Policy and Procedures Manual | Division of Vocational Rehabilitation | State of Vermont </w:t>
    </w:r>
    <w:r>
      <w:rPr>
        <w:rFonts w:ascii="Franklin Gothic" w:eastAsia="Franklin Gothic" w:hAnsi="Franklin Gothic" w:cs="Franklin Gothic"/>
      </w:rPr>
      <w:tab/>
      <w:t xml:space="preserve">page </w:t>
    </w:r>
    <w:r>
      <w:fldChar w:fldCharType="begin"/>
    </w:r>
    <w:r>
      <w:instrText xml:space="preserve"> PAGE   \* MERGEFORMAT </w:instrText>
    </w:r>
    <w:r>
      <w:fldChar w:fldCharType="separate"/>
    </w:r>
    <w:r>
      <w:rPr>
        <w:rFonts w:ascii="Franklin Gothic" w:eastAsia="Franklin Gothic" w:hAnsi="Franklin Gothic" w:cs="Franklin Gothic"/>
      </w:rPr>
      <w:t>1</w:t>
    </w:r>
    <w:r>
      <w:rPr>
        <w:rFonts w:ascii="Franklin Gothic" w:eastAsia="Franklin Gothic" w:hAnsi="Franklin Gothic" w:cs="Franklin Gothic"/>
      </w:rPr>
      <w:fldChar w:fldCharType="end"/>
    </w:r>
    <w:r>
      <w:rPr>
        <w:rFonts w:ascii="Franklin Gothic" w:eastAsia="Franklin Gothic" w:hAnsi="Franklin Gothic" w:cs="Franklin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EC340" w14:textId="77777777" w:rsidR="006808B1" w:rsidRDefault="004D7607">
      <w:pPr>
        <w:spacing w:after="0" w:line="240" w:lineRule="auto"/>
      </w:pPr>
      <w:r>
        <w:separator/>
      </w:r>
    </w:p>
  </w:footnote>
  <w:footnote w:type="continuationSeparator" w:id="0">
    <w:p w14:paraId="3C30FA1C" w14:textId="77777777" w:rsidR="006808B1" w:rsidRDefault="004D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EC9C" w14:textId="77777777" w:rsidR="002E1C02" w:rsidRDefault="004D7607">
    <w:pPr>
      <w:spacing w:after="0" w:line="250" w:lineRule="auto"/>
      <w:ind w:left="135" w:right="-11" w:firstLine="0"/>
      <w:jc w:val="right"/>
    </w:pPr>
    <w:r>
      <w:rPr>
        <w:rFonts w:ascii="Franklin Gothic" w:eastAsia="Franklin Gothic" w:hAnsi="Franklin Gothic" w:cs="Franklin Gothic"/>
      </w:rPr>
      <w:t xml:space="preserve">Chapter 301: Counseling and Guidance, Referral to Other Services, and Other Goods and Services </w:t>
    </w:r>
    <w:r>
      <w:rPr>
        <w:sz w:val="20"/>
      </w:rPr>
      <w:t xml:space="preserve">Revised: </w:t>
    </w:r>
    <w:r>
      <w:rPr>
        <w:rFonts w:ascii="Franklin Gothic" w:eastAsia="Franklin Gothic" w:hAnsi="Franklin Gothic" w:cs="Franklin Gothic"/>
      </w:rPr>
      <w:t>March 2015</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BE5BF" w14:textId="77777777" w:rsidR="001D5FD6" w:rsidRPr="0046030A" w:rsidRDefault="004D7607">
    <w:pPr>
      <w:spacing w:after="0" w:line="250" w:lineRule="auto"/>
      <w:ind w:left="135" w:right="-11" w:firstLine="0"/>
      <w:jc w:val="right"/>
      <w:rPr>
        <w:rFonts w:ascii="Franklin Gothic Medium Cond" w:eastAsia="Franklin Gothic" w:hAnsi="Franklin Gothic Medium Cond" w:cs="Franklin Gothic"/>
      </w:rPr>
    </w:pPr>
    <w:r w:rsidRPr="0046030A">
      <w:rPr>
        <w:rFonts w:ascii="Franklin Gothic Medium Cond" w:eastAsia="Franklin Gothic" w:hAnsi="Franklin Gothic Medium Cond" w:cs="Franklin Gothic"/>
      </w:rPr>
      <w:t>Chapter 3</w:t>
    </w:r>
    <w:r w:rsidR="006D7021" w:rsidRPr="0046030A">
      <w:rPr>
        <w:rFonts w:ascii="Franklin Gothic Medium Cond" w:eastAsia="Franklin Gothic" w:hAnsi="Franklin Gothic Medium Cond" w:cs="Franklin Gothic"/>
      </w:rPr>
      <w:t>:</w:t>
    </w:r>
    <w:r w:rsidRPr="0046030A">
      <w:rPr>
        <w:rFonts w:ascii="Franklin Gothic Medium Cond" w:eastAsia="Franklin Gothic" w:hAnsi="Franklin Gothic Medium Cond" w:cs="Franklin Gothic"/>
      </w:rPr>
      <w:t xml:space="preserve"> Counseling and Guidance, Referral to Other Services, and Other Goods and Services</w:t>
    </w:r>
  </w:p>
  <w:p w14:paraId="5E577F6A" w14:textId="314AE248" w:rsidR="002E1C02" w:rsidRDefault="004D7607">
    <w:pPr>
      <w:spacing w:after="0" w:line="250" w:lineRule="auto"/>
      <w:ind w:left="135" w:right="-11" w:firstLine="0"/>
      <w:jc w:val="right"/>
    </w:pPr>
    <w:r w:rsidRPr="001D5FD6">
      <w:rPr>
        <w:rFonts w:ascii="Franklin Gothic Medium Cond" w:eastAsia="Franklin Gothic" w:hAnsi="Franklin Gothic Medium Cond" w:cs="Franklin Gothic"/>
      </w:rPr>
      <w:t xml:space="preserve"> </w:t>
    </w:r>
    <w:r w:rsidRPr="0046030A">
      <w:rPr>
        <w:sz w:val="20"/>
      </w:rPr>
      <w:t>Revised:</w:t>
    </w:r>
    <w:r w:rsidR="001D5FD6">
      <w:rPr>
        <w:sz w:val="20"/>
      </w:rPr>
      <w:t xml:space="preserve">  </w:t>
    </w:r>
    <w:r w:rsidR="006D7021" w:rsidRPr="0046030A">
      <w:rPr>
        <w:rFonts w:ascii="Franklin Gothic Medium" w:hAnsi="Franklin Gothic Medium"/>
        <w:sz w:val="20"/>
      </w:rPr>
      <w:t>February 2020</w:t>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F0A8A" w14:textId="77777777" w:rsidR="002E1C02" w:rsidRDefault="004D7607">
    <w:pPr>
      <w:spacing w:after="0" w:line="250" w:lineRule="auto"/>
      <w:ind w:left="135" w:right="-11" w:firstLine="0"/>
      <w:jc w:val="right"/>
    </w:pPr>
    <w:r>
      <w:rPr>
        <w:rFonts w:ascii="Franklin Gothic" w:eastAsia="Franklin Gothic" w:hAnsi="Franklin Gothic" w:cs="Franklin Gothic"/>
      </w:rPr>
      <w:t xml:space="preserve">Chapter 301: Counseling and Guidance, Referral to Other Services, and Other Goods and Services </w:t>
    </w:r>
    <w:r>
      <w:rPr>
        <w:sz w:val="20"/>
      </w:rPr>
      <w:t xml:space="preserve">Revised: </w:t>
    </w:r>
    <w:r>
      <w:rPr>
        <w:rFonts w:ascii="Franklin Gothic" w:eastAsia="Franklin Gothic" w:hAnsi="Franklin Gothic" w:cs="Franklin Gothic"/>
      </w:rPr>
      <w:t>March 2015</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C6E82"/>
    <w:multiLevelType w:val="hybridMultilevel"/>
    <w:tmpl w:val="84949740"/>
    <w:lvl w:ilvl="0" w:tplc="DFF2E582">
      <w:start w:val="1"/>
      <w:numFmt w:val="upperLetter"/>
      <w:lvlText w:val="%1."/>
      <w:lvlJc w:val="left"/>
      <w:pPr>
        <w:ind w:left="3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1" w:tplc="651691C8">
      <w:start w:val="1"/>
      <w:numFmt w:val="decimal"/>
      <w:lvlText w:val="%2."/>
      <w:lvlJc w:val="left"/>
      <w:pPr>
        <w:ind w:left="7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2" w:tplc="1540BB8A">
      <w:start w:val="1"/>
      <w:numFmt w:val="lowerRoman"/>
      <w:lvlText w:val="%3"/>
      <w:lvlJc w:val="left"/>
      <w:pPr>
        <w:ind w:left="144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3" w:tplc="51F6A152">
      <w:start w:val="1"/>
      <w:numFmt w:val="decimal"/>
      <w:lvlText w:val="%4"/>
      <w:lvlJc w:val="left"/>
      <w:pPr>
        <w:ind w:left="21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4" w:tplc="79D69C1A">
      <w:start w:val="1"/>
      <w:numFmt w:val="lowerLetter"/>
      <w:lvlText w:val="%5"/>
      <w:lvlJc w:val="left"/>
      <w:pPr>
        <w:ind w:left="28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5" w:tplc="3AC2A43C">
      <w:start w:val="1"/>
      <w:numFmt w:val="lowerRoman"/>
      <w:lvlText w:val="%6"/>
      <w:lvlJc w:val="left"/>
      <w:pPr>
        <w:ind w:left="36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6" w:tplc="2DC658BC">
      <w:start w:val="1"/>
      <w:numFmt w:val="decimal"/>
      <w:lvlText w:val="%7"/>
      <w:lvlJc w:val="left"/>
      <w:pPr>
        <w:ind w:left="43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7" w:tplc="C13E15B0">
      <w:start w:val="1"/>
      <w:numFmt w:val="lowerLetter"/>
      <w:lvlText w:val="%8"/>
      <w:lvlJc w:val="left"/>
      <w:pPr>
        <w:ind w:left="504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8" w:tplc="8668C52A">
      <w:start w:val="1"/>
      <w:numFmt w:val="lowerRoman"/>
      <w:lvlText w:val="%9"/>
      <w:lvlJc w:val="left"/>
      <w:pPr>
        <w:ind w:left="57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250904"/>
    <w:multiLevelType w:val="hybridMultilevel"/>
    <w:tmpl w:val="14182434"/>
    <w:lvl w:ilvl="0" w:tplc="3244DCBA">
      <w:start w:val="1"/>
      <w:numFmt w:val="upperLetter"/>
      <w:lvlText w:val="%1."/>
      <w:lvlJc w:val="left"/>
      <w:pPr>
        <w:ind w:left="3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1" w:tplc="56183C18">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2" w:tplc="D0141EE6">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3" w:tplc="D5E8DF08">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4" w:tplc="D27EECC4">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5" w:tplc="CE82EB2C">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6" w:tplc="9B9E7804">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7" w:tplc="CABC0F3A">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8" w:tplc="83E6AB86">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8467F2"/>
    <w:multiLevelType w:val="hybridMultilevel"/>
    <w:tmpl w:val="F7340A68"/>
    <w:lvl w:ilvl="0" w:tplc="B11C0E4E">
      <w:start w:val="1"/>
      <w:numFmt w:val="decimal"/>
      <w:lvlText w:val="%1."/>
      <w:lvlJc w:val="left"/>
      <w:pPr>
        <w:ind w:left="7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1" w:tplc="1CAEC762">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2" w:tplc="970898C8">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3" w:tplc="BC9C31E4">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4" w:tplc="83E21694">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5" w:tplc="9F00352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6" w:tplc="169E12A2">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7" w:tplc="1250F2B0">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lvl w:ilvl="8" w:tplc="D17AAD8A">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2"/>
    <w:rsid w:val="00102C98"/>
    <w:rsid w:val="001D5FD6"/>
    <w:rsid w:val="002262B4"/>
    <w:rsid w:val="002E1C02"/>
    <w:rsid w:val="00375D92"/>
    <w:rsid w:val="003D13EF"/>
    <w:rsid w:val="0046030A"/>
    <w:rsid w:val="00464443"/>
    <w:rsid w:val="0047552B"/>
    <w:rsid w:val="004D7607"/>
    <w:rsid w:val="006808B1"/>
    <w:rsid w:val="0069371E"/>
    <w:rsid w:val="006D7021"/>
    <w:rsid w:val="007D7FF3"/>
    <w:rsid w:val="007E13F1"/>
    <w:rsid w:val="008C69E1"/>
    <w:rsid w:val="008F67B5"/>
    <w:rsid w:val="00A277BE"/>
    <w:rsid w:val="00B35D8E"/>
    <w:rsid w:val="00CA0371"/>
    <w:rsid w:val="00E3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5AAE"/>
  <w15:docId w15:val="{257B92FD-E876-4B37-ADBC-6610777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52" w:lineRule="auto"/>
      <w:ind w:left="370" w:hanging="370"/>
    </w:pPr>
    <w:rPr>
      <w:rFonts w:ascii="Franklin Gothic Book" w:eastAsia="Franklin Gothic Book" w:hAnsi="Franklin Gothic Book" w:cs="Franklin Gothic Book"/>
      <w:color w:val="000000"/>
      <w:sz w:val="24"/>
    </w:rPr>
  </w:style>
  <w:style w:type="paragraph" w:styleId="Heading1">
    <w:name w:val="heading 1"/>
    <w:next w:val="Normal"/>
    <w:link w:val="Heading1Char"/>
    <w:uiPriority w:val="9"/>
    <w:qFormat/>
    <w:pPr>
      <w:keepNext/>
      <w:keepLines/>
      <w:spacing w:after="278"/>
      <w:ind w:left="5" w:hanging="10"/>
      <w:outlineLvl w:val="0"/>
    </w:pPr>
    <w:rPr>
      <w:rFonts w:ascii="Franklin Gothic" w:eastAsia="Franklin Gothic" w:hAnsi="Franklin Gothic" w:cs="Franklin Gothic"/>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8A70-D06A-4E57-AB76-C3C0F1C6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203:  INDIVIDUALIZED PLAN FOR EMPLOYMENT</dc:title>
  <dc:subject/>
  <dc:creator>Vermont Division of Vocational Rehabilitation</dc:creator>
  <cp:keywords/>
  <cp:lastModifiedBy>Hoellerich, Melissa</cp:lastModifiedBy>
  <cp:revision>20</cp:revision>
  <dcterms:created xsi:type="dcterms:W3CDTF">2020-01-28T19:54:00Z</dcterms:created>
  <dcterms:modified xsi:type="dcterms:W3CDTF">2020-06-23T16:53:00Z</dcterms:modified>
</cp:coreProperties>
</file>