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C75E" w14:textId="2EE5DF55" w:rsidR="00E66FFC" w:rsidRDefault="00CB58A9" w:rsidP="00070FC8">
      <w:pPr>
        <w:pStyle w:val="Title"/>
      </w:pPr>
      <w:bookmarkStart w:id="0" w:name="ChapterNumber"/>
      <w:r w:rsidRPr="00217CE9">
        <w:t>Chapter</w:t>
      </w:r>
      <w:r>
        <w:t xml:space="preserve"> </w:t>
      </w:r>
      <w:r w:rsidR="007965E8">
        <w:t>5</w:t>
      </w:r>
      <w:r w:rsidR="008A481F">
        <w:t>:</w:t>
      </w:r>
      <w:bookmarkEnd w:id="0"/>
    </w:p>
    <w:p w14:paraId="0BD51514" w14:textId="557D51E1" w:rsidR="00CB58A9" w:rsidRDefault="007965E8" w:rsidP="00217CE9">
      <w:pPr>
        <w:pStyle w:val="Title"/>
      </w:pPr>
      <w:r>
        <w:t>Training</w:t>
      </w:r>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096259D9" w14:textId="061B24F2" w:rsidR="00882762" w:rsidRDefault="00EE6E8A" w:rsidP="00CB1695">
      <w:pPr>
        <w:pStyle w:val="BodyText"/>
      </w:pPr>
      <w:r w:rsidRPr="00CB1695">
        <w:t>Revision</w:t>
      </w:r>
      <w:r w:rsidRPr="00EE6E8A">
        <w:t xml:space="preserve"> Date</w:t>
      </w:r>
      <w:r>
        <w:t>:</w:t>
      </w:r>
      <w:r w:rsidR="00A34A37">
        <w:t xml:space="preserve">  </w:t>
      </w:r>
      <w:r w:rsidR="00FE5F72">
        <w:t>June</w:t>
      </w:r>
      <w:r w:rsidR="007965E8">
        <w:t xml:space="preserve"> 2020</w:t>
      </w:r>
    </w:p>
    <w:p w14:paraId="1D1D83F2"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783792175"/>
        <w:docPartObj>
          <w:docPartGallery w:val="Table of Contents"/>
          <w:docPartUnique/>
        </w:docPartObj>
      </w:sdtPr>
      <w:sdtEndPr>
        <w:rPr>
          <w:b/>
          <w:bCs/>
          <w:noProof/>
        </w:rPr>
      </w:sdtEndPr>
      <w:sdtContent>
        <w:p w14:paraId="105B918A" w14:textId="6ADF2A2D" w:rsidR="007D7944" w:rsidRDefault="00485ED0">
          <w:pPr>
            <w:pStyle w:val="TOCHeading"/>
          </w:pPr>
          <w:r>
            <w:t>Table of C</w:t>
          </w:r>
          <w:r w:rsidR="007D7944">
            <w:t>ontents</w:t>
          </w:r>
        </w:p>
        <w:p w14:paraId="5B47E8B7" w14:textId="427B1C27" w:rsidR="006F4A2A" w:rsidRDefault="007D7944">
          <w:pPr>
            <w:pStyle w:val="TOC1"/>
            <w:rPr>
              <w:rFonts w:asciiTheme="minorHAnsi" w:hAnsiTheme="minorHAnsi"/>
              <w:sz w:val="22"/>
              <w:szCs w:val="22"/>
              <w:lang w:eastAsia="en-US"/>
            </w:rPr>
          </w:pPr>
          <w:r>
            <w:rPr>
              <w:noProof w:val="0"/>
            </w:rPr>
            <w:fldChar w:fldCharType="begin"/>
          </w:r>
          <w:r>
            <w:instrText xml:space="preserve"> TOC \o "1-3" \h \z \u </w:instrText>
          </w:r>
          <w:r>
            <w:rPr>
              <w:noProof w:val="0"/>
            </w:rPr>
            <w:fldChar w:fldCharType="separate"/>
          </w:r>
          <w:hyperlink w:anchor="_Toc63234557" w:history="1">
            <w:r w:rsidR="006F4A2A" w:rsidRPr="00586629">
              <w:rPr>
                <w:rStyle w:val="Hyperlink"/>
              </w:rPr>
              <w:t>Section I.</w:t>
            </w:r>
            <w:r w:rsidR="006F4A2A">
              <w:rPr>
                <w:rFonts w:asciiTheme="minorHAnsi" w:hAnsiTheme="minorHAnsi"/>
                <w:sz w:val="22"/>
                <w:szCs w:val="22"/>
                <w:lang w:eastAsia="en-US"/>
              </w:rPr>
              <w:tab/>
            </w:r>
            <w:r w:rsidR="006F4A2A" w:rsidRPr="00586629">
              <w:rPr>
                <w:rStyle w:val="Hyperlink"/>
              </w:rPr>
              <w:t>Definitions</w:t>
            </w:r>
            <w:r w:rsidR="006F4A2A">
              <w:rPr>
                <w:webHidden/>
              </w:rPr>
              <w:tab/>
            </w:r>
            <w:r w:rsidR="006F4A2A">
              <w:rPr>
                <w:webHidden/>
              </w:rPr>
              <w:fldChar w:fldCharType="begin"/>
            </w:r>
            <w:r w:rsidR="006F4A2A">
              <w:rPr>
                <w:webHidden/>
              </w:rPr>
              <w:instrText xml:space="preserve"> PAGEREF _Toc63234557 \h </w:instrText>
            </w:r>
            <w:r w:rsidR="006F4A2A">
              <w:rPr>
                <w:webHidden/>
              </w:rPr>
            </w:r>
            <w:r w:rsidR="006F4A2A">
              <w:rPr>
                <w:webHidden/>
              </w:rPr>
              <w:fldChar w:fldCharType="separate"/>
            </w:r>
            <w:r w:rsidR="00E308A0">
              <w:rPr>
                <w:webHidden/>
              </w:rPr>
              <w:t>2</w:t>
            </w:r>
            <w:r w:rsidR="006F4A2A">
              <w:rPr>
                <w:webHidden/>
              </w:rPr>
              <w:fldChar w:fldCharType="end"/>
            </w:r>
          </w:hyperlink>
        </w:p>
        <w:p w14:paraId="70B79835" w14:textId="342C7A4F" w:rsidR="006F4A2A" w:rsidRDefault="00643B47">
          <w:pPr>
            <w:pStyle w:val="TOC1"/>
            <w:rPr>
              <w:rFonts w:asciiTheme="minorHAnsi" w:hAnsiTheme="minorHAnsi"/>
              <w:sz w:val="22"/>
              <w:szCs w:val="22"/>
              <w:lang w:eastAsia="en-US"/>
            </w:rPr>
          </w:pPr>
          <w:hyperlink w:anchor="_Toc63234558" w:history="1">
            <w:r w:rsidR="006F4A2A" w:rsidRPr="00586629">
              <w:rPr>
                <w:rStyle w:val="Hyperlink"/>
              </w:rPr>
              <w:t>Section II.</w:t>
            </w:r>
            <w:r w:rsidR="006F4A2A">
              <w:rPr>
                <w:rFonts w:asciiTheme="minorHAnsi" w:hAnsiTheme="minorHAnsi"/>
                <w:sz w:val="22"/>
                <w:szCs w:val="22"/>
                <w:lang w:eastAsia="en-US"/>
              </w:rPr>
              <w:tab/>
            </w:r>
            <w:r w:rsidR="006F4A2A" w:rsidRPr="00586629">
              <w:rPr>
                <w:rStyle w:val="Hyperlink"/>
              </w:rPr>
              <w:t>General Policy</w:t>
            </w:r>
            <w:r w:rsidR="006F4A2A">
              <w:rPr>
                <w:webHidden/>
              </w:rPr>
              <w:tab/>
            </w:r>
            <w:r w:rsidR="006F4A2A">
              <w:rPr>
                <w:webHidden/>
              </w:rPr>
              <w:fldChar w:fldCharType="begin"/>
            </w:r>
            <w:r w:rsidR="006F4A2A">
              <w:rPr>
                <w:webHidden/>
              </w:rPr>
              <w:instrText xml:space="preserve"> PAGEREF _Toc63234558 \h </w:instrText>
            </w:r>
            <w:r w:rsidR="006F4A2A">
              <w:rPr>
                <w:webHidden/>
              </w:rPr>
            </w:r>
            <w:r w:rsidR="006F4A2A">
              <w:rPr>
                <w:webHidden/>
              </w:rPr>
              <w:fldChar w:fldCharType="separate"/>
            </w:r>
            <w:r w:rsidR="00E308A0">
              <w:rPr>
                <w:webHidden/>
              </w:rPr>
              <w:t>2</w:t>
            </w:r>
            <w:r w:rsidR="006F4A2A">
              <w:rPr>
                <w:webHidden/>
              </w:rPr>
              <w:fldChar w:fldCharType="end"/>
            </w:r>
          </w:hyperlink>
        </w:p>
        <w:p w14:paraId="4E572064" w14:textId="6EE6E8EF" w:rsidR="006F4A2A" w:rsidRDefault="00643B47">
          <w:pPr>
            <w:pStyle w:val="TOC1"/>
            <w:rPr>
              <w:rFonts w:asciiTheme="minorHAnsi" w:hAnsiTheme="minorHAnsi"/>
              <w:sz w:val="22"/>
              <w:szCs w:val="22"/>
              <w:lang w:eastAsia="en-US"/>
            </w:rPr>
          </w:pPr>
          <w:hyperlink w:anchor="_Toc63234559" w:history="1">
            <w:r w:rsidR="006F4A2A" w:rsidRPr="00586629">
              <w:rPr>
                <w:rStyle w:val="Hyperlink"/>
              </w:rPr>
              <w:t>Section III.</w:t>
            </w:r>
            <w:r w:rsidR="006F4A2A">
              <w:rPr>
                <w:rFonts w:asciiTheme="minorHAnsi" w:hAnsiTheme="minorHAnsi"/>
                <w:sz w:val="22"/>
                <w:szCs w:val="22"/>
                <w:lang w:eastAsia="en-US"/>
              </w:rPr>
              <w:tab/>
            </w:r>
            <w:r w:rsidR="006F4A2A" w:rsidRPr="00586629">
              <w:rPr>
                <w:rStyle w:val="Hyperlink"/>
              </w:rPr>
              <w:t>Post-Secondary Education</w:t>
            </w:r>
            <w:r w:rsidR="006F4A2A">
              <w:rPr>
                <w:webHidden/>
              </w:rPr>
              <w:tab/>
            </w:r>
            <w:r w:rsidR="006F4A2A">
              <w:rPr>
                <w:webHidden/>
              </w:rPr>
              <w:fldChar w:fldCharType="begin"/>
            </w:r>
            <w:r w:rsidR="006F4A2A">
              <w:rPr>
                <w:webHidden/>
              </w:rPr>
              <w:instrText xml:space="preserve"> PAGEREF _Toc63234559 \h </w:instrText>
            </w:r>
            <w:r w:rsidR="006F4A2A">
              <w:rPr>
                <w:webHidden/>
              </w:rPr>
            </w:r>
            <w:r w:rsidR="006F4A2A">
              <w:rPr>
                <w:webHidden/>
              </w:rPr>
              <w:fldChar w:fldCharType="separate"/>
            </w:r>
            <w:r w:rsidR="00E308A0">
              <w:rPr>
                <w:webHidden/>
              </w:rPr>
              <w:t>2</w:t>
            </w:r>
            <w:r w:rsidR="006F4A2A">
              <w:rPr>
                <w:webHidden/>
              </w:rPr>
              <w:fldChar w:fldCharType="end"/>
            </w:r>
          </w:hyperlink>
        </w:p>
        <w:p w14:paraId="7F826EF8" w14:textId="5CD77092" w:rsidR="006F4A2A" w:rsidRDefault="00643B47">
          <w:pPr>
            <w:pStyle w:val="TOC1"/>
            <w:rPr>
              <w:rFonts w:asciiTheme="minorHAnsi" w:hAnsiTheme="minorHAnsi"/>
              <w:sz w:val="22"/>
              <w:szCs w:val="22"/>
              <w:lang w:eastAsia="en-US"/>
            </w:rPr>
          </w:pPr>
          <w:hyperlink w:anchor="_Toc63234560" w:history="1">
            <w:r w:rsidR="006F4A2A" w:rsidRPr="00586629">
              <w:rPr>
                <w:rStyle w:val="Hyperlink"/>
              </w:rPr>
              <w:t xml:space="preserve">Section IV.  </w:t>
            </w:r>
            <w:r w:rsidR="00106996">
              <w:rPr>
                <w:rStyle w:val="Hyperlink"/>
              </w:rPr>
              <w:t xml:space="preserve">    </w:t>
            </w:r>
            <w:r w:rsidR="006F4A2A" w:rsidRPr="00586629">
              <w:rPr>
                <w:rStyle w:val="Hyperlink"/>
              </w:rPr>
              <w:t>Vocational Training</w:t>
            </w:r>
            <w:r w:rsidR="006F4A2A">
              <w:rPr>
                <w:webHidden/>
              </w:rPr>
              <w:tab/>
            </w:r>
            <w:r w:rsidR="006F4A2A">
              <w:rPr>
                <w:webHidden/>
              </w:rPr>
              <w:fldChar w:fldCharType="begin"/>
            </w:r>
            <w:r w:rsidR="006F4A2A">
              <w:rPr>
                <w:webHidden/>
              </w:rPr>
              <w:instrText xml:space="preserve"> PAGEREF _Toc63234560 \h </w:instrText>
            </w:r>
            <w:r w:rsidR="006F4A2A">
              <w:rPr>
                <w:webHidden/>
              </w:rPr>
            </w:r>
            <w:r w:rsidR="006F4A2A">
              <w:rPr>
                <w:webHidden/>
              </w:rPr>
              <w:fldChar w:fldCharType="separate"/>
            </w:r>
            <w:r w:rsidR="00E308A0">
              <w:rPr>
                <w:webHidden/>
              </w:rPr>
              <w:t>4</w:t>
            </w:r>
            <w:r w:rsidR="006F4A2A">
              <w:rPr>
                <w:webHidden/>
              </w:rPr>
              <w:fldChar w:fldCharType="end"/>
            </w:r>
          </w:hyperlink>
        </w:p>
        <w:p w14:paraId="49E82DB5" w14:textId="236412B6" w:rsidR="006F4A2A" w:rsidRDefault="00643B47">
          <w:pPr>
            <w:pStyle w:val="TOC1"/>
            <w:rPr>
              <w:rFonts w:asciiTheme="minorHAnsi" w:hAnsiTheme="minorHAnsi"/>
              <w:sz w:val="22"/>
              <w:szCs w:val="22"/>
              <w:lang w:eastAsia="en-US"/>
            </w:rPr>
          </w:pPr>
          <w:hyperlink w:anchor="_Toc63234561" w:history="1">
            <w:r w:rsidR="006F4A2A" w:rsidRPr="00586629">
              <w:rPr>
                <w:rStyle w:val="Hyperlink"/>
              </w:rPr>
              <w:t xml:space="preserve">Section V.  </w:t>
            </w:r>
            <w:r w:rsidR="00106996">
              <w:rPr>
                <w:rStyle w:val="Hyperlink"/>
              </w:rPr>
              <w:t xml:space="preserve">     </w:t>
            </w:r>
            <w:r w:rsidR="006F4A2A" w:rsidRPr="00586629">
              <w:rPr>
                <w:rStyle w:val="Hyperlink"/>
              </w:rPr>
              <w:t>On-The-Job Training and Work Experiences</w:t>
            </w:r>
            <w:r w:rsidR="006F4A2A">
              <w:rPr>
                <w:webHidden/>
              </w:rPr>
              <w:tab/>
            </w:r>
            <w:r w:rsidR="006F4A2A">
              <w:rPr>
                <w:webHidden/>
              </w:rPr>
              <w:fldChar w:fldCharType="begin"/>
            </w:r>
            <w:r w:rsidR="006F4A2A">
              <w:rPr>
                <w:webHidden/>
              </w:rPr>
              <w:instrText xml:space="preserve"> PAGEREF _Toc63234561 \h </w:instrText>
            </w:r>
            <w:r w:rsidR="006F4A2A">
              <w:rPr>
                <w:webHidden/>
              </w:rPr>
            </w:r>
            <w:r w:rsidR="006F4A2A">
              <w:rPr>
                <w:webHidden/>
              </w:rPr>
              <w:fldChar w:fldCharType="separate"/>
            </w:r>
            <w:r w:rsidR="00E308A0">
              <w:rPr>
                <w:webHidden/>
              </w:rPr>
              <w:t>4</w:t>
            </w:r>
            <w:r w:rsidR="006F4A2A">
              <w:rPr>
                <w:webHidden/>
              </w:rPr>
              <w:fldChar w:fldCharType="end"/>
            </w:r>
          </w:hyperlink>
        </w:p>
        <w:p w14:paraId="6B2E5E48" w14:textId="52F05092" w:rsidR="006F4A2A" w:rsidRPr="006F4A2A" w:rsidRDefault="00643B47">
          <w:pPr>
            <w:pStyle w:val="TOC1"/>
            <w:rPr>
              <w:rFonts w:asciiTheme="minorHAnsi" w:hAnsiTheme="minorHAnsi"/>
              <w:sz w:val="22"/>
              <w:szCs w:val="22"/>
              <w:lang w:eastAsia="en-US"/>
            </w:rPr>
          </w:pPr>
          <w:hyperlink w:anchor="_Toc63234562" w:history="1">
            <w:r w:rsidR="006F4A2A">
              <w:rPr>
                <w:rStyle w:val="Hyperlink"/>
              </w:rPr>
              <w:t>Attachment</w:t>
            </w:r>
          </w:hyperlink>
          <w:r w:rsidR="00C26D00">
            <w:rPr>
              <w:rStyle w:val="Hyperlink"/>
              <w:u w:val="none"/>
            </w:rPr>
            <w:t xml:space="preserve"> </w:t>
          </w:r>
          <w:r w:rsidR="006F4A2A" w:rsidRPr="006F4A2A">
            <w:rPr>
              <w:rStyle w:val="Hyperlink"/>
              <w:color w:val="auto"/>
              <w:u w:val="none"/>
            </w:rPr>
            <w:t>A</w:t>
          </w:r>
          <w:r w:rsidR="00C26D00">
            <w:rPr>
              <w:rStyle w:val="Hyperlink"/>
              <w:color w:val="auto"/>
              <w:u w:val="none"/>
            </w:rPr>
            <w:t xml:space="preserve"> - </w:t>
          </w:r>
          <w:r w:rsidR="006F4A2A" w:rsidRPr="006F4A2A">
            <w:rPr>
              <w:rStyle w:val="Hyperlink"/>
              <w:color w:val="auto"/>
              <w:u w:val="none"/>
            </w:rPr>
            <w:t xml:space="preserve"> </w:t>
          </w:r>
          <w:r>
            <w:rPr>
              <w:rStyle w:val="Hyperlink"/>
              <w:color w:val="auto"/>
              <w:u w:val="none"/>
            </w:rPr>
            <w:t>S</w:t>
          </w:r>
          <w:r w:rsidR="006F4A2A" w:rsidRPr="006F4A2A">
            <w:rPr>
              <w:rStyle w:val="Hyperlink"/>
              <w:color w:val="auto"/>
              <w:u w:val="none"/>
            </w:rPr>
            <w:t>ample On the Job</w:t>
          </w:r>
          <w:r w:rsidR="006F4A2A">
            <w:rPr>
              <w:rStyle w:val="Hyperlink"/>
              <w:color w:val="auto"/>
              <w:u w:val="none"/>
            </w:rPr>
            <w:t xml:space="preserve"> Training </w:t>
          </w:r>
          <w:r>
            <w:rPr>
              <w:rStyle w:val="Hyperlink"/>
              <w:color w:val="auto"/>
              <w:u w:val="none"/>
            </w:rPr>
            <w:t>Ag</w:t>
          </w:r>
          <w:r w:rsidR="006F4A2A">
            <w:rPr>
              <w:rStyle w:val="Hyperlink"/>
              <w:color w:val="auto"/>
              <w:u w:val="none"/>
            </w:rPr>
            <w:t>reement…………</w:t>
          </w:r>
          <w:r w:rsidR="002B1C1D">
            <w:rPr>
              <w:rStyle w:val="Hyperlink"/>
              <w:color w:val="auto"/>
              <w:u w:val="none"/>
            </w:rPr>
            <w:t>.</w:t>
          </w:r>
          <w:r w:rsidR="006F4A2A">
            <w:rPr>
              <w:rStyle w:val="Hyperlink"/>
              <w:color w:val="auto"/>
              <w:u w:val="none"/>
            </w:rPr>
            <w:t>..……</w:t>
          </w:r>
          <w:r>
            <w:rPr>
              <w:rStyle w:val="Hyperlink"/>
              <w:color w:val="auto"/>
              <w:u w:val="none"/>
            </w:rPr>
            <w:t>.</w:t>
          </w:r>
          <w:r w:rsidR="006F4A2A">
            <w:rPr>
              <w:rStyle w:val="Hyperlink"/>
              <w:color w:val="auto"/>
              <w:u w:val="none"/>
            </w:rPr>
            <w:t>……</w:t>
          </w:r>
          <w:r w:rsidR="00C26D00">
            <w:rPr>
              <w:rStyle w:val="Hyperlink"/>
              <w:color w:val="auto"/>
              <w:u w:val="none"/>
            </w:rPr>
            <w:t>.</w:t>
          </w:r>
          <w:r w:rsidR="006F4A2A">
            <w:rPr>
              <w:rStyle w:val="Hyperlink"/>
              <w:color w:val="auto"/>
              <w:u w:val="none"/>
            </w:rPr>
            <w:t>…………………………6</w:t>
          </w:r>
          <w:r w:rsidR="006F4A2A" w:rsidRPr="006F4A2A">
            <w:rPr>
              <w:rStyle w:val="Hyperlink"/>
              <w:b/>
              <w:bCs/>
              <w:color w:val="auto"/>
              <w:u w:val="none"/>
            </w:rPr>
            <w:t xml:space="preserve"> </w:t>
          </w:r>
        </w:p>
        <w:p w14:paraId="6CE3CEB7" w14:textId="5A51B273" w:rsidR="006F4A2A" w:rsidRPr="006F4A2A" w:rsidRDefault="006F4A2A">
          <w:pPr>
            <w:pStyle w:val="TOC1"/>
            <w:rPr>
              <w:sz w:val="22"/>
              <w:szCs w:val="22"/>
              <w:lang w:eastAsia="en-US"/>
            </w:rPr>
          </w:pPr>
          <w:r>
            <w:rPr>
              <w:rStyle w:val="Hyperlink"/>
              <w:color w:val="auto"/>
              <w:u w:val="none"/>
            </w:rPr>
            <w:t>Attachment</w:t>
          </w:r>
          <w:r w:rsidR="00C26D00">
            <w:rPr>
              <w:rStyle w:val="Hyperlink"/>
              <w:color w:val="auto"/>
              <w:u w:val="none"/>
            </w:rPr>
            <w:t xml:space="preserve"> </w:t>
          </w:r>
          <w:r>
            <w:rPr>
              <w:rStyle w:val="Hyperlink"/>
              <w:color w:val="auto"/>
              <w:u w:val="none"/>
            </w:rPr>
            <w:t>B</w:t>
          </w:r>
          <w:r w:rsidR="00C26D00">
            <w:rPr>
              <w:rStyle w:val="Hyperlink"/>
              <w:color w:val="auto"/>
              <w:u w:val="none"/>
            </w:rPr>
            <w:t xml:space="preserve"> - </w:t>
          </w:r>
          <w:r>
            <w:rPr>
              <w:rStyle w:val="Hyperlink"/>
              <w:color w:val="auto"/>
              <w:u w:val="none"/>
            </w:rPr>
            <w:t xml:space="preserve"> </w:t>
          </w:r>
          <w:r w:rsidR="00643B47">
            <w:rPr>
              <w:rStyle w:val="Hyperlink"/>
              <w:color w:val="auto"/>
              <w:u w:val="none"/>
            </w:rPr>
            <w:t>S</w:t>
          </w:r>
          <w:r>
            <w:rPr>
              <w:rStyle w:val="Hyperlink"/>
              <w:color w:val="auto"/>
              <w:u w:val="none"/>
            </w:rPr>
            <w:t>ample Work Based Learning Agreement……………</w:t>
          </w:r>
          <w:r w:rsidR="00643B47">
            <w:rPr>
              <w:rStyle w:val="Hyperlink"/>
              <w:color w:val="auto"/>
              <w:u w:val="none"/>
            </w:rPr>
            <w:t>..</w:t>
          </w:r>
          <w:r w:rsidR="00C26D00">
            <w:rPr>
              <w:rStyle w:val="Hyperlink"/>
              <w:color w:val="auto"/>
              <w:u w:val="none"/>
            </w:rPr>
            <w:t>….</w:t>
          </w:r>
          <w:r>
            <w:rPr>
              <w:rStyle w:val="Hyperlink"/>
              <w:color w:val="auto"/>
              <w:u w:val="none"/>
            </w:rPr>
            <w:t>…………………………….7</w:t>
          </w:r>
          <w:hyperlink w:anchor="_Toc63234563" w:history="1"/>
        </w:p>
        <w:p w14:paraId="702917FA" w14:textId="7A7E254F" w:rsidR="007D7944" w:rsidRDefault="007D7944">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63234557"/>
      <w:r>
        <w:lastRenderedPageBreak/>
        <w:t>Section I.</w:t>
      </w:r>
      <w:r>
        <w:tab/>
        <w:t>Definitions</w:t>
      </w:r>
      <w:bookmarkEnd w:id="1"/>
    </w:p>
    <w:p w14:paraId="2B4945C3" w14:textId="56F69572" w:rsidR="00200B7C" w:rsidRPr="00200B7C" w:rsidRDefault="00200B7C" w:rsidP="00E841C3">
      <w:pPr>
        <w:pStyle w:val="BodyText"/>
        <w:numPr>
          <w:ilvl w:val="1"/>
          <w:numId w:val="14"/>
        </w:numPr>
        <w:rPr>
          <w:rStyle w:val="Emphasis"/>
          <w:rFonts w:ascii="Franklin Gothic Book" w:hAnsi="Franklin Gothic Book"/>
          <w:iCs w:val="0"/>
          <w:color w:val="auto"/>
        </w:rPr>
      </w:pPr>
      <w:r w:rsidRPr="000A3092">
        <w:rPr>
          <w:rStyle w:val="Emphasis"/>
          <w:iCs w:val="0"/>
        </w:rPr>
        <w:t>“On-the-job training (OJT)”</w:t>
      </w:r>
      <w:r>
        <w:rPr>
          <w:rStyle w:val="Emphasis"/>
          <w:rFonts w:ascii="Franklin Gothic Book" w:hAnsi="Franklin Gothic Book"/>
          <w:iCs w:val="0"/>
          <w:color w:val="auto"/>
        </w:rPr>
        <w:t xml:space="preserve"> </w:t>
      </w:r>
      <w:r w:rsidRPr="005C41FE">
        <w:rPr>
          <w:rStyle w:val="Emphasis"/>
          <w:rFonts w:ascii="Franklin Gothic Book" w:hAnsi="Franklin Gothic Book"/>
          <w:iCs w:val="0"/>
          <w:color w:val="auto"/>
        </w:rPr>
        <w:t>means a type of vocational training with the instruction delivered on the job.  The training takes place while the trainee is employed at the worksite.  The trainee shall receive wages from the employer in accordance with the Fair Labor Standards Act while being trained</w:t>
      </w:r>
      <w:r>
        <w:rPr>
          <w:rStyle w:val="Emphasis"/>
          <w:rFonts w:ascii="Franklin Gothic Book" w:hAnsi="Franklin Gothic Book"/>
          <w:iCs w:val="0"/>
          <w:color w:val="auto"/>
        </w:rPr>
        <w:t>.</w:t>
      </w:r>
    </w:p>
    <w:p w14:paraId="2A2B6864" w14:textId="7F5CF670" w:rsidR="001A20BB" w:rsidRDefault="007965E8" w:rsidP="00E841C3">
      <w:pPr>
        <w:pStyle w:val="BodyText"/>
        <w:numPr>
          <w:ilvl w:val="1"/>
          <w:numId w:val="14"/>
        </w:numPr>
      </w:pPr>
      <w:r w:rsidRPr="00200B7C">
        <w:rPr>
          <w:rFonts w:ascii="Franklin Gothic Demi" w:hAnsi="Franklin Gothic Demi"/>
          <w:color w:val="335B95"/>
        </w:rPr>
        <w:t>“Post-secondary education”</w:t>
      </w:r>
      <w:r w:rsidRPr="00200B7C">
        <w:rPr>
          <w:color w:val="0070C0"/>
        </w:rPr>
        <w:t xml:space="preserve"> </w:t>
      </w:r>
      <w:r w:rsidRPr="005C41FE">
        <w:t>means</w:t>
      </w:r>
      <w:r w:rsidR="00200B7C" w:rsidRPr="005C41FE">
        <w:t xml:space="preserve"> education provided by degree granting institution of higher education (</w:t>
      </w:r>
      <w:r w:rsidRPr="005C41FE">
        <w:t>universities, colleges,</w:t>
      </w:r>
      <w:r w:rsidR="00200B7C" w:rsidRPr="005C41FE">
        <w:t xml:space="preserve"> community or junior colleges, vocational schools, technical </w:t>
      </w:r>
      <w:proofErr w:type="gramStart"/>
      <w:r w:rsidR="00200B7C" w:rsidRPr="005C41FE">
        <w:t>institut</w:t>
      </w:r>
      <w:r w:rsidR="0004541B">
        <w:t>e</w:t>
      </w:r>
      <w:r w:rsidR="00200B7C" w:rsidRPr="005C41FE">
        <w:t>s</w:t>
      </w:r>
      <w:proofErr w:type="gramEnd"/>
      <w:r w:rsidR="00200B7C" w:rsidRPr="005C41FE">
        <w:t xml:space="preserve"> or hospital schools of nursing).</w:t>
      </w:r>
    </w:p>
    <w:p w14:paraId="7FEFCABB" w14:textId="77777777" w:rsidR="005C41FE" w:rsidRDefault="005C41FE" w:rsidP="00E841C3">
      <w:pPr>
        <w:pStyle w:val="BodyText"/>
        <w:numPr>
          <w:ilvl w:val="1"/>
          <w:numId w:val="14"/>
        </w:numPr>
      </w:pPr>
      <w:r>
        <w:rPr>
          <w:rFonts w:ascii="Franklin Gothic Demi" w:hAnsi="Franklin Gothic Demi"/>
          <w:color w:val="335B95"/>
        </w:rPr>
        <w:t xml:space="preserve">“Training offset” </w:t>
      </w:r>
      <w:r w:rsidRPr="005C41FE">
        <w:t>means</w:t>
      </w:r>
      <w:r>
        <w:t xml:space="preserve"> an amount paid to an individual to participate in an otherwise unpaid work experience.</w:t>
      </w:r>
    </w:p>
    <w:p w14:paraId="15E53A1C" w14:textId="192421E8" w:rsidR="00200B7C" w:rsidRPr="005C41FE" w:rsidRDefault="005C41FE" w:rsidP="00E841C3">
      <w:pPr>
        <w:pStyle w:val="BodyText"/>
        <w:numPr>
          <w:ilvl w:val="1"/>
          <w:numId w:val="14"/>
        </w:numPr>
      </w:pPr>
      <w:r>
        <w:rPr>
          <w:rFonts w:ascii="Franklin Gothic Demi" w:hAnsi="Franklin Gothic Demi"/>
          <w:color w:val="335B95"/>
        </w:rPr>
        <w:t xml:space="preserve">“Vocational training” </w:t>
      </w:r>
      <w:r>
        <w:t>means training of a technical or trade nature, which may lead to a certificate o</w:t>
      </w:r>
      <w:r w:rsidR="008E6CAF">
        <w:t>r</w:t>
      </w:r>
      <w:r>
        <w:t xml:space="preserve"> license but not a college degree.    </w:t>
      </w:r>
    </w:p>
    <w:p w14:paraId="09B61A65" w14:textId="1D5A98F4" w:rsidR="00090CCC" w:rsidRDefault="00882762" w:rsidP="00F36245">
      <w:pPr>
        <w:pStyle w:val="Heading1"/>
        <w:numPr>
          <w:ilvl w:val="0"/>
          <w:numId w:val="0"/>
        </w:numPr>
      </w:pPr>
      <w:bookmarkStart w:id="2" w:name="_Toc63234558"/>
      <w:r>
        <w:t>Section II.</w:t>
      </w:r>
      <w:r>
        <w:tab/>
        <w:t>General Policy</w:t>
      </w:r>
      <w:bookmarkEnd w:id="2"/>
    </w:p>
    <w:p w14:paraId="37AA9106" w14:textId="77777777" w:rsidR="00DF3B50" w:rsidRPr="00DF3B50" w:rsidRDefault="00DF3B50" w:rsidP="00DF3B50"/>
    <w:p w14:paraId="6D65DA34" w14:textId="77777777" w:rsidR="00DF3B50" w:rsidRPr="005D467D" w:rsidRDefault="005C41FE" w:rsidP="005D467D">
      <w:pPr>
        <w:pStyle w:val="BodyText"/>
        <w:spacing w:before="0"/>
        <w:ind w:left="360" w:hanging="360"/>
      </w:pPr>
      <w:r w:rsidRPr="005D467D">
        <w:t>As appropriate to the vocational rehabilitation needs of each individual and consistent with</w:t>
      </w:r>
    </w:p>
    <w:p w14:paraId="425FEDD9" w14:textId="502B996B" w:rsidR="00DF3B50" w:rsidRPr="005D467D" w:rsidRDefault="005C41FE" w:rsidP="005D467D">
      <w:pPr>
        <w:pStyle w:val="BodyText"/>
        <w:spacing w:before="0"/>
        <w:ind w:left="360" w:hanging="360"/>
      </w:pPr>
      <w:proofErr w:type="gramStart"/>
      <w:r w:rsidRPr="005D467D">
        <w:t>each in</w:t>
      </w:r>
      <w:r w:rsidR="00DF3B50" w:rsidRPr="005D467D">
        <w:t>d</w:t>
      </w:r>
      <w:r w:rsidRPr="005D467D">
        <w:t>ividual’s</w:t>
      </w:r>
      <w:proofErr w:type="gramEnd"/>
      <w:r w:rsidRPr="005D467D">
        <w:t xml:space="preserve"> informed choic</w:t>
      </w:r>
      <w:r w:rsidR="00DF3B50" w:rsidRPr="005D467D">
        <w:t>e</w:t>
      </w:r>
      <w:r w:rsidRPr="005D467D">
        <w:t xml:space="preserve">, training services may be provided as describe herein.  An </w:t>
      </w:r>
    </w:p>
    <w:p w14:paraId="2FB78250" w14:textId="77777777" w:rsidR="005D467D" w:rsidRDefault="005C41FE" w:rsidP="005D467D">
      <w:pPr>
        <w:pStyle w:val="BodyText"/>
        <w:spacing w:before="0"/>
        <w:ind w:left="360" w:hanging="360"/>
      </w:pPr>
      <w:r w:rsidRPr="005D467D">
        <w:t xml:space="preserve">out-of-state training facility may be chosen.  However, </w:t>
      </w:r>
      <w:r w:rsidR="00DF3B50" w:rsidRPr="005D467D">
        <w:t xml:space="preserve">if </w:t>
      </w:r>
      <w:r w:rsidRPr="005D467D">
        <w:t>comparable training is avai</w:t>
      </w:r>
      <w:r w:rsidR="00DF3B50" w:rsidRPr="005D467D">
        <w:t>lable</w:t>
      </w:r>
      <w:r w:rsidR="005D467D">
        <w:t xml:space="preserve"> in </w:t>
      </w:r>
    </w:p>
    <w:p w14:paraId="13757AAE" w14:textId="77777777" w:rsidR="005D467D" w:rsidRDefault="005D467D" w:rsidP="005D467D">
      <w:pPr>
        <w:pStyle w:val="BodyText"/>
        <w:spacing w:before="0"/>
        <w:ind w:left="360" w:hanging="360"/>
      </w:pPr>
      <w:r>
        <w:t xml:space="preserve">state at less cost, DBVI’s monetary share in those costs, if any, will not exceed the amount </w:t>
      </w:r>
      <w:proofErr w:type="gramStart"/>
      <w:r>
        <w:t>it</w:t>
      </w:r>
      <w:proofErr w:type="gramEnd"/>
    </w:p>
    <w:p w14:paraId="2A1F43AC" w14:textId="4B5E209B" w:rsidR="00E44E05" w:rsidRPr="005D467D" w:rsidRDefault="005D467D" w:rsidP="005D467D">
      <w:pPr>
        <w:pStyle w:val="BodyText"/>
        <w:spacing w:before="0"/>
        <w:ind w:left="360" w:hanging="360"/>
      </w:pPr>
      <w:r>
        <w:t>would have cost at the in-state facility.</w:t>
      </w:r>
    </w:p>
    <w:p w14:paraId="52B97046" w14:textId="07D8C1B8" w:rsidR="00882762" w:rsidRDefault="00882762" w:rsidP="0070105A">
      <w:pPr>
        <w:pStyle w:val="Heading1"/>
        <w:numPr>
          <w:ilvl w:val="0"/>
          <w:numId w:val="0"/>
        </w:numPr>
      </w:pPr>
      <w:bookmarkStart w:id="3" w:name="_Toc63234559"/>
      <w:r>
        <w:t>Section III.</w:t>
      </w:r>
      <w:r>
        <w:tab/>
      </w:r>
      <w:r w:rsidR="005D467D">
        <w:t>Post-Secondary Education</w:t>
      </w:r>
      <w:bookmarkEnd w:id="3"/>
    </w:p>
    <w:p w14:paraId="33BE918B" w14:textId="77777777" w:rsidR="005D467D" w:rsidRDefault="005D467D" w:rsidP="008D4379">
      <w:pPr>
        <w:pStyle w:val="BodyText"/>
        <w:numPr>
          <w:ilvl w:val="0"/>
          <w:numId w:val="11"/>
        </w:numPr>
      </w:pPr>
      <w:r w:rsidRPr="003D5960">
        <w:rPr>
          <w:b/>
          <w:bCs/>
        </w:rPr>
        <w:t>General Guidance</w:t>
      </w:r>
      <w:r w:rsidR="00E17BCD" w:rsidRPr="005C7B76">
        <w:t>:</w:t>
      </w:r>
      <w:r>
        <w:t xml:space="preserve">  Criteria for DBVI participation in financing post-secondary education:</w:t>
      </w:r>
    </w:p>
    <w:p w14:paraId="5593AA6D" w14:textId="161FBE4F" w:rsidR="006C7DEE" w:rsidRDefault="005D467D" w:rsidP="009519FB">
      <w:pPr>
        <w:pStyle w:val="BodyText"/>
        <w:numPr>
          <w:ilvl w:val="0"/>
          <w:numId w:val="10"/>
        </w:numPr>
        <w:spacing w:before="120"/>
      </w:pPr>
      <w:r>
        <w:t>There is evidence of the individual’s intellectual ability and interest by prior performance or testing.</w:t>
      </w:r>
    </w:p>
    <w:p w14:paraId="31D26F54" w14:textId="48CD737B" w:rsidR="005D467D" w:rsidRDefault="005C7B76" w:rsidP="005D467D">
      <w:pPr>
        <w:pStyle w:val="BodyText"/>
        <w:numPr>
          <w:ilvl w:val="0"/>
          <w:numId w:val="10"/>
        </w:numPr>
        <w:spacing w:before="0"/>
      </w:pPr>
      <w:r>
        <w:t>T</w:t>
      </w:r>
      <w:r w:rsidRPr="005C7B76">
        <w:t xml:space="preserve">he </w:t>
      </w:r>
      <w:r w:rsidR="005D467D">
        <w:t>educational training will lead to a specific vocational goal or occupational “family” which is compatible with the individual’s unique strengths, resources, priorities, concerns, abilities, capabilities, interests, and informed choice</w:t>
      </w:r>
      <w:r w:rsidR="002E04DD">
        <w:t>.</w:t>
      </w:r>
    </w:p>
    <w:p w14:paraId="0CD40A0E" w14:textId="199A1089" w:rsidR="002E04DD" w:rsidRDefault="002E04DD" w:rsidP="002E04DD">
      <w:pPr>
        <w:pStyle w:val="BodyText"/>
        <w:spacing w:before="0"/>
      </w:pPr>
    </w:p>
    <w:p w14:paraId="46790A45" w14:textId="0512A14B" w:rsidR="002E04DD" w:rsidRPr="003D5960" w:rsidRDefault="002E04DD" w:rsidP="002E04DD">
      <w:pPr>
        <w:pStyle w:val="BodyText"/>
        <w:numPr>
          <w:ilvl w:val="0"/>
          <w:numId w:val="11"/>
        </w:numPr>
        <w:spacing w:before="0"/>
        <w:rPr>
          <w:b/>
          <w:bCs/>
        </w:rPr>
      </w:pPr>
      <w:r w:rsidRPr="003D5960">
        <w:rPr>
          <w:b/>
          <w:bCs/>
        </w:rPr>
        <w:t>Spending Guidelines</w:t>
      </w:r>
    </w:p>
    <w:p w14:paraId="36C275F7" w14:textId="77777777" w:rsidR="000A3092" w:rsidRDefault="000A3092" w:rsidP="000A3092">
      <w:pPr>
        <w:pStyle w:val="BodyText"/>
        <w:spacing w:before="0"/>
      </w:pPr>
    </w:p>
    <w:p w14:paraId="6D29420C" w14:textId="521C66D2" w:rsidR="000A3092" w:rsidRDefault="000A3092" w:rsidP="000A3092">
      <w:pPr>
        <w:pStyle w:val="BodyText"/>
        <w:spacing w:before="0"/>
        <w:ind w:left="360"/>
      </w:pPr>
      <w:r w:rsidRPr="000A3092">
        <w:t>No training or training services in an institution of higher education may be paid for with DBVI funds unless maximum efforts have been made by the individual to secure grant assistance in whole or in part from other sources to pay for that training.</w:t>
      </w:r>
      <w:r>
        <w:t xml:space="preserve">  </w:t>
      </w:r>
      <w:r w:rsidRPr="000A3092">
        <w:t>DBVI’s financial sponsorship in post-secondary education shall be considered only after all comparable services and benefits including loans, scholarships, and grants have been explored.</w:t>
      </w:r>
      <w:r>
        <w:t xml:space="preserve">  </w:t>
      </w:r>
      <w:r w:rsidRPr="000A3092">
        <w:t xml:space="preserve">DBVI's participation may not meet </w:t>
      </w:r>
      <w:proofErr w:type="gramStart"/>
      <w:r w:rsidRPr="000A3092">
        <w:t>all of</w:t>
      </w:r>
      <w:proofErr w:type="gramEnd"/>
      <w:r w:rsidRPr="000A3092">
        <w:t xml:space="preserve"> a student's unmet need; students should be expected to participate in a college’s work-study program unless precluded by the disability(ies).</w:t>
      </w:r>
    </w:p>
    <w:p w14:paraId="3C17A8EA" w14:textId="72B7FBD6" w:rsidR="000F0586" w:rsidRDefault="000F0586" w:rsidP="000A3092">
      <w:pPr>
        <w:pStyle w:val="BodyText"/>
        <w:spacing w:before="0"/>
        <w:ind w:left="360"/>
      </w:pPr>
    </w:p>
    <w:p w14:paraId="174530FD" w14:textId="39DAC40E" w:rsidR="000F0586" w:rsidRDefault="000F0586" w:rsidP="000A3092">
      <w:pPr>
        <w:pStyle w:val="BodyText"/>
        <w:spacing w:before="0"/>
        <w:ind w:left="360"/>
      </w:pPr>
      <w:r>
        <w:lastRenderedPageBreak/>
        <w:t xml:space="preserve">DBVI may authorize up to $100 per credit per semester for direct school costs.  These costs include tuition, fees, and room and board.  DBVI may also authorize the full cost of books and supplies as agreed upon with the DBVI counselor.  Other expenses, </w:t>
      </w:r>
      <w:proofErr w:type="gramStart"/>
      <w:r>
        <w:t>i.e.</w:t>
      </w:r>
      <w:proofErr w:type="gramEnd"/>
      <w:r>
        <w:t xml:space="preserve"> transportation, readers, assistive technology, or other special accommodations will be considered separately.  The educational institution should provide all accommodations required by law.</w:t>
      </w:r>
    </w:p>
    <w:p w14:paraId="18A02D99" w14:textId="5401F842" w:rsidR="00322009" w:rsidRDefault="00322009" w:rsidP="000A3092">
      <w:pPr>
        <w:pStyle w:val="BodyText"/>
        <w:spacing w:before="0"/>
        <w:ind w:left="360"/>
      </w:pPr>
    </w:p>
    <w:p w14:paraId="6A9DE639" w14:textId="249D8F98" w:rsidR="00322009" w:rsidRDefault="00322009" w:rsidP="000A3092">
      <w:pPr>
        <w:pStyle w:val="BodyText"/>
        <w:spacing w:before="0"/>
        <w:ind w:left="360"/>
      </w:pPr>
      <w:r>
        <w:t>The person should be expected to maintain a “C” average or 2.0 GPA for continued DBVI funding; if such grades are not maintained, the DBVI counselor and individual shall reevaluate the training plan.  Individuals receiving DBVI funding for post-secondary training are required to submit a copy of their transcripts annually to their DBVI counselor.</w:t>
      </w:r>
    </w:p>
    <w:p w14:paraId="4B9A80E0" w14:textId="014EF63C" w:rsidR="00322009" w:rsidRDefault="00322009" w:rsidP="000A3092">
      <w:pPr>
        <w:pStyle w:val="BodyText"/>
        <w:spacing w:before="0"/>
        <w:ind w:left="360"/>
      </w:pPr>
    </w:p>
    <w:p w14:paraId="4D48FBA4" w14:textId="3EAAA441" w:rsidR="00322009" w:rsidRDefault="00322009" w:rsidP="000A3092">
      <w:pPr>
        <w:pStyle w:val="BodyText"/>
        <w:spacing w:before="0"/>
        <w:ind w:left="360"/>
      </w:pPr>
      <w:r>
        <w:t>Although post-secondary training requires a determination of the availability of comparable services and benefits, books, including alternative format books, accessible by computer and audio books, tools and other training materials do not require such determination.</w:t>
      </w:r>
    </w:p>
    <w:p w14:paraId="14A13D29" w14:textId="77777777" w:rsidR="004A79CD" w:rsidRDefault="004A79CD" w:rsidP="004A79CD">
      <w:pPr>
        <w:pStyle w:val="BodyText"/>
        <w:spacing w:before="0"/>
      </w:pPr>
    </w:p>
    <w:p w14:paraId="73F1DAA8" w14:textId="3910B091" w:rsidR="004A79CD" w:rsidRPr="003D5960" w:rsidRDefault="004A79CD" w:rsidP="004A79CD">
      <w:pPr>
        <w:pStyle w:val="BodyText"/>
        <w:numPr>
          <w:ilvl w:val="0"/>
          <w:numId w:val="11"/>
        </w:numPr>
        <w:spacing w:before="0"/>
        <w:rPr>
          <w:b/>
          <w:bCs/>
        </w:rPr>
      </w:pPr>
      <w:r w:rsidRPr="003D5960">
        <w:rPr>
          <w:b/>
          <w:bCs/>
        </w:rPr>
        <w:t>Exceptions to the Spending Guidelines</w:t>
      </w:r>
    </w:p>
    <w:p w14:paraId="50526EC9" w14:textId="0BAA1761" w:rsidR="00CE34DD" w:rsidRDefault="00CE34DD" w:rsidP="00CE34DD">
      <w:pPr>
        <w:pStyle w:val="BodyText"/>
        <w:spacing w:before="0"/>
        <w:ind w:left="360"/>
      </w:pPr>
    </w:p>
    <w:p w14:paraId="6BF9F07C" w14:textId="0B3729CA" w:rsidR="00B02A60" w:rsidRDefault="00CE34DD" w:rsidP="00CE34DD">
      <w:pPr>
        <w:pStyle w:val="BodyText"/>
        <w:spacing w:before="0"/>
        <w:ind w:left="360"/>
      </w:pPr>
      <w:r>
        <w:t>The DBVI counselor may allow an exception to the spending guidelines if the individual meets one or more of the following conditions:</w:t>
      </w:r>
    </w:p>
    <w:p w14:paraId="5E4ADCE2" w14:textId="77777777" w:rsidR="00B02A60" w:rsidRDefault="00B02A60" w:rsidP="00CE34DD">
      <w:pPr>
        <w:pStyle w:val="BodyText"/>
        <w:spacing w:before="0"/>
        <w:ind w:left="360"/>
      </w:pPr>
    </w:p>
    <w:p w14:paraId="397EFBD0" w14:textId="303C0B61" w:rsidR="00CE34DD" w:rsidRDefault="00CE34DD" w:rsidP="009519FB">
      <w:pPr>
        <w:pStyle w:val="BodyText"/>
        <w:numPr>
          <w:ilvl w:val="2"/>
          <w:numId w:val="11"/>
        </w:numPr>
        <w:spacing w:before="0"/>
      </w:pPr>
      <w:r>
        <w:t>Has a significant disability with multiple needs and related costs such that the repayment of an education loan will cause undue hardship given his/her projected earning capacity.</w:t>
      </w:r>
    </w:p>
    <w:p w14:paraId="15369B3C" w14:textId="6E004D2F" w:rsidR="00CE34DD" w:rsidRDefault="00CE34DD" w:rsidP="009519FB">
      <w:pPr>
        <w:pStyle w:val="BodyText"/>
        <w:numPr>
          <w:ilvl w:val="2"/>
          <w:numId w:val="11"/>
        </w:numPr>
        <w:spacing w:before="0"/>
      </w:pPr>
      <w:r>
        <w:t xml:space="preserve">Becomes ineligible for the expected level of funding assistance through grants and loans due to a reduction in the availability of these </w:t>
      </w:r>
      <w:proofErr w:type="gramStart"/>
      <w:r>
        <w:t>funds</w:t>
      </w:r>
      <w:proofErr w:type="gramEnd"/>
    </w:p>
    <w:p w14:paraId="1C9DE76A" w14:textId="4AA3ADA6" w:rsidR="00CE34DD" w:rsidRDefault="00CE34DD" w:rsidP="009519FB">
      <w:pPr>
        <w:pStyle w:val="BodyText"/>
        <w:numPr>
          <w:ilvl w:val="2"/>
          <w:numId w:val="11"/>
        </w:numPr>
        <w:spacing w:before="0"/>
      </w:pPr>
      <w:r>
        <w:t>Is unable to participate in a work-study program and or work between semesters due to the significance of the disability.</w:t>
      </w:r>
    </w:p>
    <w:p w14:paraId="04499911" w14:textId="571B4B88" w:rsidR="00CE34DD" w:rsidRDefault="00CE34DD" w:rsidP="009519FB">
      <w:pPr>
        <w:pStyle w:val="BodyText"/>
        <w:numPr>
          <w:ilvl w:val="2"/>
          <w:numId w:val="11"/>
        </w:numPr>
        <w:spacing w:before="0"/>
      </w:pPr>
      <w:r>
        <w:t>Suffers a substantial reduction in personal resources.</w:t>
      </w:r>
    </w:p>
    <w:p w14:paraId="4D2D8350" w14:textId="547C8A23" w:rsidR="00CE34DD" w:rsidRDefault="00CE34DD" w:rsidP="009519FB">
      <w:pPr>
        <w:pStyle w:val="BodyText"/>
        <w:numPr>
          <w:ilvl w:val="2"/>
          <w:numId w:val="11"/>
        </w:numPr>
        <w:spacing w:before="0"/>
      </w:pPr>
      <w:r>
        <w:t>Must attend an unusually expensive facility due to the nature of the disability.</w:t>
      </w:r>
    </w:p>
    <w:p w14:paraId="48CC3F20" w14:textId="10D0A5EE" w:rsidR="00CE34DD" w:rsidRDefault="00CE34DD" w:rsidP="009519FB">
      <w:pPr>
        <w:pStyle w:val="BodyText"/>
        <w:numPr>
          <w:ilvl w:val="2"/>
          <w:numId w:val="11"/>
        </w:numPr>
        <w:spacing w:before="0"/>
      </w:pPr>
      <w:r>
        <w:t>Realizes unexpected needs that impair the ability to contribute to his/her education.</w:t>
      </w:r>
    </w:p>
    <w:p w14:paraId="2F7A4FC3" w14:textId="68C77E2D" w:rsidR="00CE34DD" w:rsidRDefault="00CE34DD" w:rsidP="009519FB">
      <w:pPr>
        <w:pStyle w:val="BodyText"/>
        <w:numPr>
          <w:ilvl w:val="2"/>
          <w:numId w:val="11"/>
        </w:numPr>
        <w:spacing w:before="0"/>
      </w:pPr>
      <w:r>
        <w:t>Would be unable to continue his/her educational program without DBVI participation beyond established spending guidelines.</w:t>
      </w:r>
    </w:p>
    <w:p w14:paraId="06446681" w14:textId="091D03D6" w:rsidR="00CE34DD" w:rsidRDefault="00CE34DD" w:rsidP="00CE34DD">
      <w:pPr>
        <w:pStyle w:val="BodyText"/>
        <w:spacing w:before="0"/>
        <w:ind w:left="360"/>
      </w:pPr>
    </w:p>
    <w:p w14:paraId="3E7DE246" w14:textId="32377FEB" w:rsidR="004A79CD" w:rsidRPr="00A1580A" w:rsidRDefault="004A79CD" w:rsidP="004A79CD">
      <w:pPr>
        <w:pStyle w:val="BodyText"/>
        <w:numPr>
          <w:ilvl w:val="0"/>
          <w:numId w:val="11"/>
        </w:numPr>
        <w:spacing w:before="0"/>
        <w:rPr>
          <w:b/>
          <w:bCs/>
        </w:rPr>
      </w:pPr>
      <w:r w:rsidRPr="00A1580A">
        <w:rPr>
          <w:b/>
          <w:bCs/>
        </w:rPr>
        <w:t>Sponsorship of Programs at the Graduate Level</w:t>
      </w:r>
    </w:p>
    <w:p w14:paraId="16332C45" w14:textId="3D773EFD" w:rsidR="00FE5A41" w:rsidRDefault="00FE5A41" w:rsidP="00FE5A41">
      <w:pPr>
        <w:pStyle w:val="BodyText"/>
        <w:spacing w:before="0"/>
        <w:ind w:left="360"/>
      </w:pPr>
    </w:p>
    <w:p w14:paraId="22B85105" w14:textId="3ED187C7" w:rsidR="00FE5A41" w:rsidRDefault="00FE5A41" w:rsidP="00FE5A41">
      <w:pPr>
        <w:pStyle w:val="BodyText"/>
        <w:spacing w:before="0"/>
        <w:ind w:left="360"/>
      </w:pPr>
      <w:r>
        <w:t>DBVI may sponsor graduate-level work under the following conditions:</w:t>
      </w:r>
    </w:p>
    <w:p w14:paraId="0752A4A1" w14:textId="77777777" w:rsidR="00A1580A" w:rsidRDefault="00A1580A" w:rsidP="00FE5A41">
      <w:pPr>
        <w:pStyle w:val="BodyText"/>
        <w:spacing w:before="0"/>
        <w:ind w:left="360"/>
      </w:pPr>
    </w:p>
    <w:p w14:paraId="642E696D" w14:textId="16132617" w:rsidR="00FE5A41" w:rsidRDefault="00FE5A41" w:rsidP="009519FB">
      <w:pPr>
        <w:pStyle w:val="BodyText"/>
        <w:numPr>
          <w:ilvl w:val="2"/>
          <w:numId w:val="11"/>
        </w:numPr>
        <w:spacing w:before="0"/>
      </w:pPr>
      <w:r>
        <w:t>The individual obtained an undergraduate degree prior to becoming disabled and is unable to continue or obtain employment in this field due to the disability.</w:t>
      </w:r>
    </w:p>
    <w:p w14:paraId="59D0D21B" w14:textId="4764DF2B" w:rsidR="00FE5A41" w:rsidRDefault="00FE5A41" w:rsidP="009519FB">
      <w:pPr>
        <w:pStyle w:val="BodyText"/>
        <w:numPr>
          <w:ilvl w:val="2"/>
          <w:numId w:val="11"/>
        </w:numPr>
        <w:spacing w:before="0"/>
      </w:pPr>
      <w:r>
        <w:t>The individual has been unable to locate suitable employment after obtaining an undergraduate degree due to the educational requirements of the chosen field.</w:t>
      </w:r>
    </w:p>
    <w:p w14:paraId="03D24E9D" w14:textId="2766F2D7" w:rsidR="00FE5A41" w:rsidRDefault="00FE5A41" w:rsidP="009519FB">
      <w:pPr>
        <w:pStyle w:val="BodyText"/>
        <w:numPr>
          <w:ilvl w:val="2"/>
          <w:numId w:val="11"/>
        </w:numPr>
        <w:spacing w:before="0"/>
      </w:pPr>
      <w:r>
        <w:t>Graduate studies are required to enter the chosen field.</w:t>
      </w:r>
    </w:p>
    <w:p w14:paraId="210C70F7" w14:textId="3EB4E97B" w:rsidR="00FE5A41" w:rsidRDefault="00FE5A41" w:rsidP="00FE5A41">
      <w:pPr>
        <w:pStyle w:val="BodyText"/>
        <w:spacing w:before="0"/>
      </w:pPr>
    </w:p>
    <w:p w14:paraId="3D6DFB03" w14:textId="0498E107" w:rsidR="00FE5A41" w:rsidRDefault="00FE5A41" w:rsidP="00FE5A41">
      <w:pPr>
        <w:pStyle w:val="BodyText"/>
        <w:spacing w:before="0"/>
      </w:pPr>
      <w:r>
        <w:lastRenderedPageBreak/>
        <w:t>Individuals being sponsored by DBVI in</w:t>
      </w:r>
      <w:r w:rsidR="0064602A">
        <w:t xml:space="preserve"> </w:t>
      </w:r>
      <w:r>
        <w:t>a graduate program shall be expected to maintain a “B” or 3.0 GPA and are required to submit transcripts annually to their DBVI counselor.</w:t>
      </w:r>
    </w:p>
    <w:p w14:paraId="4DF7B19D" w14:textId="3265B48C" w:rsidR="004A79CD" w:rsidRDefault="004A79CD" w:rsidP="004A79CD">
      <w:pPr>
        <w:pStyle w:val="BodyText"/>
        <w:spacing w:before="0"/>
      </w:pPr>
    </w:p>
    <w:p w14:paraId="1F3DCC4C" w14:textId="00B46299" w:rsidR="004A79CD" w:rsidRPr="00D85D92" w:rsidRDefault="004A79CD" w:rsidP="00003BE8">
      <w:pPr>
        <w:pStyle w:val="BodyText"/>
        <w:spacing w:before="0"/>
        <w:outlineLvl w:val="0"/>
        <w:rPr>
          <w:rFonts w:ascii="Franklin Gothic Medium" w:hAnsi="Franklin Gothic Medium"/>
          <w:sz w:val="28"/>
          <w:szCs w:val="28"/>
        </w:rPr>
      </w:pPr>
      <w:bookmarkStart w:id="4" w:name="_Toc63234560"/>
      <w:r w:rsidRPr="00D85D92">
        <w:rPr>
          <w:rFonts w:ascii="Franklin Gothic Medium" w:hAnsi="Franklin Gothic Medium"/>
          <w:sz w:val="28"/>
          <w:szCs w:val="28"/>
        </w:rPr>
        <w:t>Section IV.  Vocational Training</w:t>
      </w:r>
      <w:bookmarkEnd w:id="4"/>
    </w:p>
    <w:p w14:paraId="233730F2" w14:textId="175D7196" w:rsidR="004A79CD" w:rsidRDefault="004A79CD" w:rsidP="004A79CD">
      <w:pPr>
        <w:pStyle w:val="BodyText"/>
        <w:spacing w:before="0"/>
      </w:pPr>
    </w:p>
    <w:p w14:paraId="79965CFA" w14:textId="5D3C406A" w:rsidR="004A79CD" w:rsidRDefault="004A79CD" w:rsidP="00A44236">
      <w:pPr>
        <w:pStyle w:val="BodyText"/>
        <w:numPr>
          <w:ilvl w:val="0"/>
          <w:numId w:val="36"/>
        </w:numPr>
        <w:spacing w:before="0"/>
        <w:rPr>
          <w:b/>
          <w:bCs/>
        </w:rPr>
      </w:pPr>
      <w:r w:rsidRPr="00BA0AC3">
        <w:rPr>
          <w:b/>
          <w:bCs/>
        </w:rPr>
        <w:t>General Guidance</w:t>
      </w:r>
    </w:p>
    <w:p w14:paraId="2B8D1B15" w14:textId="5C997A54" w:rsidR="00B51917" w:rsidRDefault="00F005D8" w:rsidP="00355C1D">
      <w:pPr>
        <w:pStyle w:val="BodyText"/>
        <w:spacing w:before="0"/>
        <w:ind w:left="360"/>
      </w:pPr>
      <w:r>
        <w:t>V</w:t>
      </w:r>
      <w:r w:rsidR="00B51917">
        <w:t xml:space="preserve">ocational training includes training in trades programs, specific training programs for the blind, apprenticeships, on-the-job training, accredited home study courses, and adult education courses not intended to provide a college degree.  Individuals are required to apply for non-degree grans available through the Vermont Student Assistance Corporation (VSAC) and other sources.  </w:t>
      </w:r>
    </w:p>
    <w:p w14:paraId="17B9EB63" w14:textId="77777777" w:rsidR="00D85D92" w:rsidRDefault="00D85D92" w:rsidP="00A44236">
      <w:pPr>
        <w:pStyle w:val="BodyText"/>
        <w:spacing w:before="0"/>
        <w:ind w:left="720"/>
      </w:pPr>
    </w:p>
    <w:p w14:paraId="00E4523A" w14:textId="42D59CFE" w:rsidR="004A79CD" w:rsidRPr="00BA0AC3" w:rsidRDefault="004A79CD" w:rsidP="00A44236">
      <w:pPr>
        <w:pStyle w:val="BodyText"/>
        <w:numPr>
          <w:ilvl w:val="0"/>
          <w:numId w:val="36"/>
        </w:numPr>
        <w:spacing w:before="0"/>
        <w:rPr>
          <w:b/>
          <w:bCs/>
        </w:rPr>
      </w:pPr>
      <w:r w:rsidRPr="00BA0AC3">
        <w:rPr>
          <w:b/>
          <w:bCs/>
        </w:rPr>
        <w:t>Spending Guidelines</w:t>
      </w:r>
    </w:p>
    <w:p w14:paraId="0DBBC54A" w14:textId="44025433" w:rsidR="00BA0AC3" w:rsidRDefault="00BA0AC3" w:rsidP="00355C1D">
      <w:pPr>
        <w:pStyle w:val="BodyText"/>
        <w:spacing w:before="0"/>
        <w:ind w:left="360"/>
      </w:pPr>
      <w:r>
        <w:t>The Director or designee must approve any vocational training costs exceeding $5,000.  Any tools, equipment, supplies and training materials may be provided separately (see policies on Occupational Licenses, Tools, and Equipment and will not be included in this $5,000 guideline.</w:t>
      </w:r>
    </w:p>
    <w:p w14:paraId="74B29740" w14:textId="77777777" w:rsidR="00D85D92" w:rsidRDefault="00D85D92" w:rsidP="00A44236">
      <w:pPr>
        <w:pStyle w:val="BodyText"/>
        <w:spacing w:before="0"/>
      </w:pPr>
    </w:p>
    <w:p w14:paraId="40F5224E" w14:textId="3F2FD6FF" w:rsidR="004A79CD" w:rsidRPr="00113C50" w:rsidRDefault="004A79CD" w:rsidP="00A44236">
      <w:pPr>
        <w:pStyle w:val="BodyText"/>
        <w:numPr>
          <w:ilvl w:val="0"/>
          <w:numId w:val="36"/>
        </w:numPr>
        <w:spacing w:before="0"/>
        <w:rPr>
          <w:b/>
          <w:bCs/>
        </w:rPr>
      </w:pPr>
      <w:r w:rsidRPr="00113C50">
        <w:rPr>
          <w:b/>
          <w:bCs/>
        </w:rPr>
        <w:t>Exceptions to Spending Guid</w:t>
      </w:r>
      <w:r w:rsidR="00DC3C35" w:rsidRPr="00113C50">
        <w:rPr>
          <w:b/>
          <w:bCs/>
        </w:rPr>
        <w:t>e</w:t>
      </w:r>
      <w:r w:rsidRPr="00113C50">
        <w:rPr>
          <w:b/>
          <w:bCs/>
        </w:rPr>
        <w:t>line</w:t>
      </w:r>
      <w:r w:rsidR="00D85D92" w:rsidRPr="00113C50">
        <w:rPr>
          <w:b/>
          <w:bCs/>
        </w:rPr>
        <w:t>s</w:t>
      </w:r>
    </w:p>
    <w:p w14:paraId="47159671" w14:textId="45241F20" w:rsidR="00BA0AC3" w:rsidRDefault="00BA0AC3" w:rsidP="00355C1D">
      <w:pPr>
        <w:pStyle w:val="BodyText"/>
        <w:spacing w:before="0"/>
        <w:ind w:left="360"/>
      </w:pPr>
      <w:r>
        <w:t>The counselor, in consultation with the Director or designee, may make exception to these guidelines if:</w:t>
      </w:r>
    </w:p>
    <w:p w14:paraId="15CADF53" w14:textId="02268AAC" w:rsidR="00113C50" w:rsidRDefault="00113C50" w:rsidP="00113C50">
      <w:pPr>
        <w:pStyle w:val="BodyText"/>
        <w:spacing w:before="0"/>
      </w:pPr>
    </w:p>
    <w:p w14:paraId="3EBA4B70" w14:textId="27EEB6AA" w:rsidR="00BA0AC3" w:rsidRDefault="00BA0AC3" w:rsidP="009519FB">
      <w:pPr>
        <w:pStyle w:val="BodyText"/>
        <w:numPr>
          <w:ilvl w:val="1"/>
          <w:numId w:val="10"/>
        </w:numPr>
        <w:spacing w:before="0"/>
      </w:pPr>
      <w:r>
        <w:t xml:space="preserve">There are no less expensive alternatives of comparable quality for the chosen training: and </w:t>
      </w:r>
    </w:p>
    <w:p w14:paraId="7BA1B7B5" w14:textId="1478D463" w:rsidR="00BA0AC3" w:rsidRDefault="00BA0AC3" w:rsidP="009519FB">
      <w:pPr>
        <w:pStyle w:val="BodyText"/>
        <w:numPr>
          <w:ilvl w:val="1"/>
          <w:numId w:val="10"/>
        </w:numPr>
        <w:spacing w:before="0"/>
      </w:pPr>
      <w:r>
        <w:t>The counselor and person concur that there is a likelihood of successful employment upon completion of the vocational training.</w:t>
      </w:r>
    </w:p>
    <w:p w14:paraId="3E6A5C97" w14:textId="77777777" w:rsidR="00097A60" w:rsidRDefault="00097A60" w:rsidP="00097A60">
      <w:pPr>
        <w:pStyle w:val="BodyText"/>
        <w:spacing w:before="0"/>
      </w:pPr>
    </w:p>
    <w:p w14:paraId="68860073" w14:textId="027DBF60" w:rsidR="004A79CD" w:rsidRPr="00D85D92" w:rsidRDefault="004A79CD" w:rsidP="00BE3CB1">
      <w:pPr>
        <w:pStyle w:val="BodyText"/>
        <w:spacing w:before="0"/>
        <w:outlineLvl w:val="0"/>
        <w:rPr>
          <w:rFonts w:ascii="Franklin Gothic Medium" w:hAnsi="Franklin Gothic Medium"/>
          <w:sz w:val="28"/>
          <w:szCs w:val="28"/>
        </w:rPr>
      </w:pPr>
      <w:bookmarkStart w:id="5" w:name="_Toc63234561"/>
      <w:r w:rsidRPr="00D85D92">
        <w:rPr>
          <w:rFonts w:ascii="Franklin Gothic Medium" w:hAnsi="Franklin Gothic Medium"/>
          <w:sz w:val="28"/>
          <w:szCs w:val="28"/>
        </w:rPr>
        <w:t>Section V.  On-The-Job Training</w:t>
      </w:r>
      <w:r w:rsidR="004A3725">
        <w:rPr>
          <w:rFonts w:ascii="Franklin Gothic Medium" w:hAnsi="Franklin Gothic Medium"/>
          <w:sz w:val="28"/>
          <w:szCs w:val="28"/>
        </w:rPr>
        <w:t xml:space="preserve"> and Work Experiences</w:t>
      </w:r>
      <w:bookmarkEnd w:id="5"/>
    </w:p>
    <w:p w14:paraId="53615F98" w14:textId="599D2F4C" w:rsidR="004A79CD" w:rsidRDefault="004A79CD" w:rsidP="004A79CD">
      <w:pPr>
        <w:pStyle w:val="BodyText"/>
        <w:spacing w:before="0"/>
      </w:pPr>
    </w:p>
    <w:p w14:paraId="0FB913B8" w14:textId="1D296816" w:rsidR="004A79CD" w:rsidRDefault="004A79CD" w:rsidP="00E0349E">
      <w:pPr>
        <w:pStyle w:val="BodyText"/>
        <w:numPr>
          <w:ilvl w:val="0"/>
          <w:numId w:val="37"/>
        </w:numPr>
        <w:spacing w:before="0"/>
        <w:rPr>
          <w:b/>
          <w:bCs/>
        </w:rPr>
      </w:pPr>
      <w:r w:rsidRPr="001E33E6">
        <w:rPr>
          <w:b/>
          <w:bCs/>
        </w:rPr>
        <w:t>General Guidanc</w:t>
      </w:r>
      <w:r w:rsidR="00113C50" w:rsidRPr="001E33E6">
        <w:rPr>
          <w:b/>
          <w:bCs/>
        </w:rPr>
        <w:t>e</w:t>
      </w:r>
    </w:p>
    <w:p w14:paraId="25446EBB" w14:textId="30D58280" w:rsidR="00B63D63" w:rsidRDefault="00113C50" w:rsidP="00E0349E">
      <w:pPr>
        <w:pStyle w:val="BodyText"/>
        <w:spacing w:before="0"/>
        <w:ind w:left="720"/>
      </w:pPr>
      <w:r>
        <w:t>On-the-job training (OJT) is provided directly by an employer or trainer under the auspices of the employer.  The work activities take place during the normal course of business.  The individual is hired as an employee receiving at least minimum wage.</w:t>
      </w:r>
    </w:p>
    <w:p w14:paraId="09FC4438" w14:textId="2DD1C90C" w:rsidR="00220220" w:rsidRDefault="00220220" w:rsidP="00E0349E">
      <w:pPr>
        <w:pStyle w:val="BodyText"/>
        <w:spacing w:before="0"/>
        <w:ind w:left="720"/>
      </w:pPr>
    </w:p>
    <w:p w14:paraId="127A1E83" w14:textId="541739EA" w:rsidR="00B63D63" w:rsidRDefault="00B63D63" w:rsidP="009519FB">
      <w:pPr>
        <w:pStyle w:val="BodyText"/>
        <w:numPr>
          <w:ilvl w:val="2"/>
          <w:numId w:val="45"/>
        </w:numPr>
        <w:spacing w:before="0"/>
        <w:ind w:left="1080"/>
      </w:pPr>
      <w:r>
        <w:t>Criteria for DBVI participation:</w:t>
      </w:r>
    </w:p>
    <w:p w14:paraId="0C949334" w14:textId="77777777" w:rsidR="00220220" w:rsidRDefault="00220220" w:rsidP="009519FB">
      <w:pPr>
        <w:pStyle w:val="BodyText"/>
        <w:spacing w:before="0"/>
        <w:ind w:left="360"/>
      </w:pPr>
    </w:p>
    <w:p w14:paraId="66A02685" w14:textId="0CA4E122" w:rsidR="00B63D63" w:rsidRDefault="00B63D63" w:rsidP="009519FB">
      <w:pPr>
        <w:pStyle w:val="BodyText"/>
        <w:numPr>
          <w:ilvl w:val="4"/>
          <w:numId w:val="31"/>
        </w:numPr>
        <w:spacing w:before="0"/>
        <w:ind w:left="1440"/>
      </w:pPr>
      <w:r>
        <w:t>When the nature of an individual’s disability with resultant adaptations and accommodations will require him/her to undergo more extensive training than is usually provided.</w:t>
      </w:r>
    </w:p>
    <w:p w14:paraId="2D8E612F" w14:textId="4B73911F" w:rsidR="00B63D63" w:rsidRDefault="00B63D63" w:rsidP="009519FB">
      <w:pPr>
        <w:pStyle w:val="BodyText"/>
        <w:numPr>
          <w:ilvl w:val="4"/>
          <w:numId w:val="31"/>
        </w:numPr>
        <w:spacing w:before="0"/>
        <w:ind w:left="1440"/>
      </w:pPr>
      <w:r>
        <w:t>The individual has the requisite aptitudes for and interest in the job.</w:t>
      </w:r>
    </w:p>
    <w:p w14:paraId="5BE28339" w14:textId="0C20650D" w:rsidR="00B63D63" w:rsidRDefault="00B63D63" w:rsidP="009519FB">
      <w:pPr>
        <w:pStyle w:val="BodyText"/>
        <w:numPr>
          <w:ilvl w:val="4"/>
          <w:numId w:val="31"/>
        </w:numPr>
        <w:spacing w:before="0"/>
        <w:ind w:left="1440"/>
      </w:pPr>
      <w:r>
        <w:t>The employer agrees to continue the employment after the training has been successfully completed.</w:t>
      </w:r>
    </w:p>
    <w:p w14:paraId="3B80732A" w14:textId="77777777" w:rsidR="007F6CFE" w:rsidRDefault="007F6CFE" w:rsidP="009519FB">
      <w:pPr>
        <w:pStyle w:val="BodyText"/>
        <w:spacing w:before="0"/>
      </w:pPr>
    </w:p>
    <w:p w14:paraId="0A3E59DE" w14:textId="0FB57855" w:rsidR="003959F2" w:rsidRDefault="007F6CFE" w:rsidP="009519FB">
      <w:pPr>
        <w:pStyle w:val="BodyText"/>
        <w:numPr>
          <w:ilvl w:val="3"/>
          <w:numId w:val="39"/>
        </w:numPr>
        <w:spacing w:before="0"/>
        <w:ind w:left="720"/>
      </w:pPr>
      <w:r>
        <w:t>A</w:t>
      </w:r>
      <w:r w:rsidR="003959F2">
        <w:t>n OJT agreement between DBVI and the employer should specify, to the degree possible, the following:</w:t>
      </w:r>
    </w:p>
    <w:p w14:paraId="353E0DFB" w14:textId="77777777" w:rsidR="003959F2" w:rsidRDefault="003959F2" w:rsidP="009519FB">
      <w:pPr>
        <w:pStyle w:val="BodyText"/>
        <w:spacing w:before="0"/>
        <w:ind w:left="1440"/>
      </w:pPr>
    </w:p>
    <w:p w14:paraId="1743D8E3" w14:textId="4740C407" w:rsidR="003959F2" w:rsidRDefault="003959F2" w:rsidP="009519FB">
      <w:pPr>
        <w:pStyle w:val="BodyText"/>
        <w:numPr>
          <w:ilvl w:val="5"/>
          <w:numId w:val="39"/>
        </w:numPr>
        <w:spacing w:before="0"/>
        <w:ind w:left="1440"/>
      </w:pPr>
      <w:r>
        <w:t xml:space="preserve">Job title or </w:t>
      </w:r>
      <w:proofErr w:type="gramStart"/>
      <w:r>
        <w:t>description;</w:t>
      </w:r>
      <w:proofErr w:type="gramEnd"/>
    </w:p>
    <w:p w14:paraId="5B7BF002" w14:textId="55B9C584" w:rsidR="003959F2" w:rsidRDefault="003959F2" w:rsidP="009519FB">
      <w:pPr>
        <w:pStyle w:val="BodyText"/>
        <w:numPr>
          <w:ilvl w:val="5"/>
          <w:numId w:val="39"/>
        </w:numPr>
        <w:spacing w:before="0"/>
        <w:ind w:left="1440"/>
      </w:pPr>
      <w:r>
        <w:lastRenderedPageBreak/>
        <w:t xml:space="preserve">Training </w:t>
      </w:r>
      <w:proofErr w:type="gramStart"/>
      <w:r>
        <w:t>period;</w:t>
      </w:r>
      <w:proofErr w:type="gramEnd"/>
    </w:p>
    <w:p w14:paraId="7DB419D6" w14:textId="7DAFBA7D" w:rsidR="003959F2" w:rsidRDefault="003959F2" w:rsidP="009519FB">
      <w:pPr>
        <w:pStyle w:val="BodyText"/>
        <w:numPr>
          <w:ilvl w:val="5"/>
          <w:numId w:val="39"/>
        </w:numPr>
        <w:spacing w:before="0"/>
        <w:ind w:left="1440"/>
      </w:pPr>
      <w:r>
        <w:t>Training fee.  This should represent wages paid to the trainer for time spent in training activities and extra costs incurred b</w:t>
      </w:r>
      <w:r w:rsidR="00022B82">
        <w:t>y</w:t>
      </w:r>
      <w:r>
        <w:t xml:space="preserve"> the employer to complete the </w:t>
      </w:r>
      <w:proofErr w:type="gramStart"/>
      <w:r>
        <w:t>training;</w:t>
      </w:r>
      <w:proofErr w:type="gramEnd"/>
    </w:p>
    <w:p w14:paraId="41BC1EF0" w14:textId="2E68168D" w:rsidR="003959F2" w:rsidRDefault="003959F2" w:rsidP="009519FB">
      <w:pPr>
        <w:pStyle w:val="BodyText"/>
        <w:numPr>
          <w:ilvl w:val="5"/>
          <w:numId w:val="39"/>
        </w:numPr>
        <w:spacing w:before="0"/>
        <w:ind w:left="1440"/>
      </w:pPr>
      <w:r>
        <w:t xml:space="preserve">Consumer shall be afforded all rights available to other employees during the training </w:t>
      </w:r>
      <w:proofErr w:type="gramStart"/>
      <w:r>
        <w:t>period;</w:t>
      </w:r>
      <w:proofErr w:type="gramEnd"/>
    </w:p>
    <w:p w14:paraId="6A35EEA5" w14:textId="6323C709" w:rsidR="003959F2" w:rsidRDefault="003959F2" w:rsidP="009519FB">
      <w:pPr>
        <w:pStyle w:val="BodyText"/>
        <w:numPr>
          <w:ilvl w:val="5"/>
          <w:numId w:val="39"/>
        </w:numPr>
        <w:spacing w:before="0"/>
        <w:ind w:left="1440"/>
      </w:pPr>
      <w:r>
        <w:t>Job skills and tasks to be taught.</w:t>
      </w:r>
    </w:p>
    <w:p w14:paraId="3BB8FF66" w14:textId="7808BB10" w:rsidR="00F005D8" w:rsidRPr="00F005D8" w:rsidRDefault="007F6CFE" w:rsidP="009519FB">
      <w:pPr>
        <w:pStyle w:val="ListParagraph"/>
        <w:numPr>
          <w:ilvl w:val="3"/>
          <w:numId w:val="39"/>
        </w:numPr>
        <w:ind w:left="720"/>
      </w:pPr>
      <w:r>
        <w:t xml:space="preserve"> </w:t>
      </w:r>
      <w:r w:rsidR="00F005D8">
        <w:t xml:space="preserve">A </w:t>
      </w:r>
      <w:r w:rsidR="00F005D8" w:rsidRPr="007F6CFE">
        <w:rPr>
          <w:b/>
          <w:bCs/>
        </w:rPr>
        <w:t>Work Experience</w:t>
      </w:r>
      <w:r w:rsidR="00F005D8">
        <w:t xml:space="preserve"> may be developed for </w:t>
      </w:r>
      <w:r w:rsidR="00F005D8" w:rsidRPr="00F005D8">
        <w:t xml:space="preserve">an individual </w:t>
      </w:r>
      <w:r w:rsidR="00F005D8">
        <w:t>to</w:t>
      </w:r>
      <w:r w:rsidR="00F005D8" w:rsidRPr="00F005D8">
        <w:t xml:space="preserve"> receive training on a job site but not as an employee.  Work experiences are an opportunity to evaluate career choices and develop skills.  A training offset may be provided </w:t>
      </w:r>
      <w:r w:rsidR="00987ABF">
        <w:t xml:space="preserve">to the consumer </w:t>
      </w:r>
      <w:r w:rsidR="00F005D8" w:rsidRPr="00F005D8">
        <w:t xml:space="preserve">by DBVI along with supports and accommodations needed to perform the essential functions of the job.  </w:t>
      </w:r>
    </w:p>
    <w:p w14:paraId="4A39654A" w14:textId="16EFAAF1" w:rsidR="00A1580A" w:rsidRDefault="00A1580A" w:rsidP="00A1580A">
      <w:pPr>
        <w:pStyle w:val="BodyText"/>
        <w:spacing w:before="0"/>
      </w:pPr>
    </w:p>
    <w:p w14:paraId="037D97FA" w14:textId="280A980C" w:rsidR="00A1580A" w:rsidRDefault="00F005D8" w:rsidP="00355C1D">
      <w:pPr>
        <w:pStyle w:val="BodyText"/>
        <w:spacing w:before="0"/>
        <w:ind w:left="720"/>
      </w:pPr>
      <w:r>
        <w:t>S</w:t>
      </w:r>
      <w:r w:rsidR="00A1580A">
        <w:t>ample OJT</w:t>
      </w:r>
      <w:r>
        <w:t xml:space="preserve"> and Work Experience</w:t>
      </w:r>
      <w:r w:rsidR="00A1580A">
        <w:t xml:space="preserve"> agreement</w:t>
      </w:r>
      <w:r>
        <w:t>s are</w:t>
      </w:r>
      <w:r w:rsidR="00A1580A">
        <w:t xml:space="preserve"> included a</w:t>
      </w:r>
      <w:r>
        <w:t>t the end of</w:t>
      </w:r>
      <w:r w:rsidR="00A1580A">
        <w:t xml:space="preserve"> this chapter.</w:t>
      </w:r>
    </w:p>
    <w:p w14:paraId="02E7AC80" w14:textId="0CD16F5D" w:rsidR="00A1580A" w:rsidRDefault="00A1580A" w:rsidP="00355C1D">
      <w:pPr>
        <w:pStyle w:val="BodyText"/>
        <w:spacing w:before="0"/>
        <w:ind w:left="720"/>
      </w:pPr>
    </w:p>
    <w:p w14:paraId="59A9F37D" w14:textId="14342090" w:rsidR="00A1580A" w:rsidRDefault="00A1580A" w:rsidP="00355C1D">
      <w:pPr>
        <w:pStyle w:val="BodyText"/>
        <w:spacing w:before="0"/>
        <w:ind w:left="720"/>
      </w:pPr>
      <w:r>
        <w:t xml:space="preserve">Progress reports should specify the person’s proficiency in necessary job skills and work habits, </w:t>
      </w:r>
      <w:proofErr w:type="gramStart"/>
      <w:r>
        <w:t>behavior</w:t>
      </w:r>
      <w:proofErr w:type="gramEnd"/>
      <w:r w:rsidR="00AE7680">
        <w:t xml:space="preserve"> </w:t>
      </w:r>
      <w:r>
        <w:t>and adjustment.</w:t>
      </w:r>
    </w:p>
    <w:p w14:paraId="2DB956DC" w14:textId="0123B5D7" w:rsidR="00113C50" w:rsidRDefault="00113C50" w:rsidP="00B63D63">
      <w:pPr>
        <w:pStyle w:val="BodyText"/>
        <w:spacing w:before="0"/>
        <w:ind w:left="2880"/>
      </w:pPr>
      <w:r>
        <w:t xml:space="preserve">  </w:t>
      </w:r>
    </w:p>
    <w:p w14:paraId="2C2F7810" w14:textId="7E72F1DD" w:rsidR="004A79CD" w:rsidRDefault="00F072DF" w:rsidP="00003BE8">
      <w:pPr>
        <w:pStyle w:val="BodyText"/>
        <w:numPr>
          <w:ilvl w:val="0"/>
          <w:numId w:val="37"/>
        </w:numPr>
        <w:spacing w:before="0"/>
        <w:rPr>
          <w:b/>
          <w:bCs/>
        </w:rPr>
      </w:pPr>
      <w:r>
        <w:rPr>
          <w:b/>
          <w:bCs/>
        </w:rPr>
        <w:t xml:space="preserve"> </w:t>
      </w:r>
      <w:r w:rsidR="004A79CD" w:rsidRPr="00F005D8">
        <w:rPr>
          <w:b/>
          <w:bCs/>
        </w:rPr>
        <w:t>Spending and Related Guidelines</w:t>
      </w:r>
    </w:p>
    <w:p w14:paraId="1CB70857" w14:textId="77777777" w:rsidR="00F072DF" w:rsidRPr="00F005D8" w:rsidRDefault="00F072DF" w:rsidP="00F072DF">
      <w:pPr>
        <w:pStyle w:val="BodyText"/>
        <w:spacing w:before="0"/>
        <w:ind w:left="720"/>
        <w:rPr>
          <w:b/>
          <w:bCs/>
        </w:rPr>
      </w:pPr>
    </w:p>
    <w:p w14:paraId="707CD5B7" w14:textId="0CB6805F" w:rsidR="00A1580A" w:rsidRDefault="00E0349E" w:rsidP="006C7010">
      <w:pPr>
        <w:pStyle w:val="BodyText"/>
        <w:numPr>
          <w:ilvl w:val="0"/>
          <w:numId w:val="40"/>
        </w:numPr>
        <w:spacing w:before="0"/>
        <w:ind w:left="1080"/>
      </w:pPr>
      <w:r>
        <w:t xml:space="preserve"> </w:t>
      </w:r>
      <w:r w:rsidR="00A1580A">
        <w:t>DBVI may furnish a training fee to serve as an incentive to the employer and as compensation for the training required by the person.  This fee should be negotiated individually for each person but should not exceed $3,000 for up to a 6-month training period.</w:t>
      </w:r>
    </w:p>
    <w:p w14:paraId="3C12F2DF" w14:textId="0B2FCFE9" w:rsidR="008173C0" w:rsidRDefault="008173C0" w:rsidP="00BE3CB1">
      <w:pPr>
        <w:pStyle w:val="BodyText"/>
        <w:spacing w:before="0"/>
        <w:ind w:left="1800"/>
      </w:pPr>
    </w:p>
    <w:p w14:paraId="44885311" w14:textId="30269D2A" w:rsidR="002915E0" w:rsidRDefault="008173C0" w:rsidP="00BE3CB1">
      <w:pPr>
        <w:pStyle w:val="BodyText"/>
        <w:numPr>
          <w:ilvl w:val="0"/>
          <w:numId w:val="40"/>
        </w:numPr>
        <w:spacing w:before="0"/>
        <w:ind w:left="1080"/>
      </w:pPr>
      <w:r>
        <w:t xml:space="preserve">Risk Management – special arrangements have been made through the Vermont Division of Risk Management to help ensure that the host employer-trainer is not liable </w:t>
      </w:r>
      <w:proofErr w:type="gramStart"/>
      <w:r>
        <w:t>in the event that</w:t>
      </w:r>
      <w:proofErr w:type="gramEnd"/>
      <w:r>
        <w:t xml:space="preserve"> the consumer is injured on the work site or if property is damaged.  An exception to the above would be if a consumer is injured due to host employer-trainer negligence.  The Division of Risk Management </w:t>
      </w:r>
      <w:r w:rsidR="000E5A87">
        <w:t>can</w:t>
      </w:r>
      <w:r>
        <w:t xml:space="preserve"> provide proof of insurance if a</w:t>
      </w:r>
      <w:r w:rsidR="000E5A87">
        <w:t>n</w:t>
      </w:r>
      <w:r>
        <w:t xml:space="preserve"> employer-trainer </w:t>
      </w:r>
      <w:r w:rsidR="000E5A87">
        <w:t>requests.</w:t>
      </w:r>
    </w:p>
    <w:p w14:paraId="68D65D5E" w14:textId="77777777" w:rsidR="002915E0" w:rsidRDefault="002915E0" w:rsidP="00BE3CB1">
      <w:pPr>
        <w:pStyle w:val="BodyText"/>
        <w:spacing w:before="0"/>
        <w:ind w:left="1800"/>
      </w:pPr>
    </w:p>
    <w:p w14:paraId="58198126" w14:textId="1E09B70C" w:rsidR="006C7010" w:rsidRDefault="002915E0" w:rsidP="006C7010">
      <w:pPr>
        <w:pStyle w:val="BodyText"/>
        <w:spacing w:before="0"/>
        <w:ind w:left="1080"/>
      </w:pPr>
      <w:r>
        <w:t>Caution must be taken to assure any unpaid, non-employee training arrangement at a job site complies with applicable U.S. Department of Labor’s Wage &amp; Hour Laws which govern topics such as the duration of such an unpaid arrangement when the host employer-trainer may be benefiting from the work being done by the consumer</w:t>
      </w:r>
      <w:r w:rsidR="006C7010">
        <w:t xml:space="preserve">. </w:t>
      </w:r>
    </w:p>
    <w:p w14:paraId="75BFFE0E" w14:textId="61824FDA" w:rsidR="006C7010" w:rsidRDefault="006C7010" w:rsidP="006C7010">
      <w:pPr>
        <w:pStyle w:val="BodyText"/>
        <w:spacing w:before="0"/>
        <w:ind w:left="1080"/>
      </w:pPr>
    </w:p>
    <w:p w14:paraId="05C45E94" w14:textId="75C8DDB3" w:rsidR="002915E0" w:rsidRDefault="00802CE4" w:rsidP="006C7010">
      <w:pPr>
        <w:pStyle w:val="BodyText"/>
        <w:spacing w:before="0"/>
        <w:ind w:left="1080" w:hanging="360"/>
      </w:pPr>
      <w:r>
        <w:t xml:space="preserve">(3) </w:t>
      </w:r>
      <w:r w:rsidR="002915E0">
        <w:t>A training offset may be paid</w:t>
      </w:r>
      <w:r w:rsidR="002F78ED">
        <w:t xml:space="preserve"> to a consumer</w:t>
      </w:r>
      <w:r w:rsidR="002915E0">
        <w:t xml:space="preserve"> for a work experience in the amount of</w:t>
      </w:r>
      <w:r w:rsidR="00FA1FE7">
        <w:t xml:space="preserve"> up to $60</w:t>
      </w:r>
      <w:r w:rsidR="00E308A0">
        <w:t xml:space="preserve"> per </w:t>
      </w:r>
      <w:r w:rsidR="00FA1FE7">
        <w:t>day for up to 40 hours per week for a maximum of 240 hours.</w:t>
      </w:r>
    </w:p>
    <w:p w14:paraId="30CFA668" w14:textId="21A5C2EA" w:rsidR="008F4422" w:rsidRDefault="008F4422" w:rsidP="008173C0">
      <w:pPr>
        <w:pStyle w:val="BodyText"/>
        <w:spacing w:before="0"/>
      </w:pPr>
    </w:p>
    <w:p w14:paraId="6F3343CD" w14:textId="455F724A" w:rsidR="00184273" w:rsidRDefault="00184273" w:rsidP="008173C0">
      <w:pPr>
        <w:pStyle w:val="BodyText"/>
        <w:spacing w:before="0"/>
      </w:pPr>
    </w:p>
    <w:p w14:paraId="79B05B05" w14:textId="7D3189D6" w:rsidR="00184273" w:rsidRDefault="00184273" w:rsidP="008173C0">
      <w:pPr>
        <w:pStyle w:val="BodyText"/>
        <w:spacing w:before="0"/>
      </w:pPr>
    </w:p>
    <w:p w14:paraId="7081DFDC" w14:textId="5F227A1B" w:rsidR="00184273" w:rsidRDefault="00184273" w:rsidP="008173C0">
      <w:pPr>
        <w:pStyle w:val="BodyText"/>
        <w:spacing w:before="0"/>
      </w:pPr>
    </w:p>
    <w:p w14:paraId="48B34F79" w14:textId="77777777" w:rsidR="00184273" w:rsidRDefault="00184273" w:rsidP="008173C0">
      <w:pPr>
        <w:pStyle w:val="BodyText"/>
        <w:spacing w:before="0"/>
      </w:pPr>
    </w:p>
    <w:p w14:paraId="3AC74B9A" w14:textId="175A7624" w:rsidR="005061A7" w:rsidRPr="005061A7" w:rsidRDefault="005061A7" w:rsidP="005061A7">
      <w:pPr>
        <w:pStyle w:val="BodyText"/>
        <w:spacing w:before="0"/>
        <w:outlineLvl w:val="0"/>
        <w:rPr>
          <w:sz w:val="28"/>
          <w:szCs w:val="28"/>
        </w:rPr>
      </w:pPr>
      <w:bookmarkStart w:id="6" w:name="_Toc63234416"/>
      <w:bookmarkStart w:id="7" w:name="_Toc63234562"/>
      <w:r w:rsidRPr="005061A7">
        <w:rPr>
          <w:sz w:val="28"/>
          <w:szCs w:val="28"/>
        </w:rPr>
        <w:lastRenderedPageBreak/>
        <w:t>A</w:t>
      </w:r>
      <w:r w:rsidR="00404E2F">
        <w:rPr>
          <w:sz w:val="28"/>
          <w:szCs w:val="28"/>
        </w:rPr>
        <w:t>ttachment</w:t>
      </w:r>
      <w:r w:rsidRPr="005061A7">
        <w:rPr>
          <w:sz w:val="28"/>
          <w:szCs w:val="28"/>
        </w:rPr>
        <w:t xml:space="preserve"> A</w:t>
      </w:r>
      <w:bookmarkEnd w:id="6"/>
      <w:bookmarkEnd w:id="7"/>
    </w:p>
    <w:p w14:paraId="0706D6E5" w14:textId="77777777" w:rsidR="005061A7" w:rsidRDefault="005061A7" w:rsidP="005061A7">
      <w:pPr>
        <w:pStyle w:val="BodyText"/>
        <w:spacing w:before="0"/>
        <w:rPr>
          <w:b/>
          <w:bCs/>
          <w:sz w:val="28"/>
          <w:szCs w:val="28"/>
        </w:rPr>
      </w:pPr>
    </w:p>
    <w:p w14:paraId="3213AF99" w14:textId="1D7208C6" w:rsidR="00454893" w:rsidRPr="00B8419A" w:rsidRDefault="00454893" w:rsidP="007F6CFE">
      <w:pPr>
        <w:pStyle w:val="BodyText"/>
        <w:spacing w:before="0"/>
        <w:jc w:val="center"/>
        <w:rPr>
          <w:b/>
          <w:bCs/>
          <w:sz w:val="28"/>
          <w:szCs w:val="28"/>
        </w:rPr>
      </w:pPr>
      <w:r w:rsidRPr="00B8419A">
        <w:rPr>
          <w:b/>
          <w:bCs/>
          <w:sz w:val="28"/>
          <w:szCs w:val="28"/>
        </w:rPr>
        <w:t xml:space="preserve">DEPARTMENT OF DISABILITIES, </w:t>
      </w:r>
      <w:proofErr w:type="gramStart"/>
      <w:r w:rsidRPr="00B8419A">
        <w:rPr>
          <w:b/>
          <w:bCs/>
          <w:sz w:val="28"/>
          <w:szCs w:val="28"/>
        </w:rPr>
        <w:t>AGING</w:t>
      </w:r>
      <w:proofErr w:type="gramEnd"/>
      <w:r w:rsidRPr="00B8419A">
        <w:rPr>
          <w:b/>
          <w:bCs/>
          <w:sz w:val="28"/>
          <w:szCs w:val="28"/>
        </w:rPr>
        <w:t xml:space="preserve"> AND INDEPENDENT LIVING</w:t>
      </w:r>
    </w:p>
    <w:p w14:paraId="38444BF6" w14:textId="1161D523" w:rsidR="00454893" w:rsidRPr="00B8419A" w:rsidRDefault="00454893" w:rsidP="00B8419A">
      <w:pPr>
        <w:pStyle w:val="BodyText"/>
        <w:spacing w:before="0"/>
        <w:jc w:val="center"/>
        <w:rPr>
          <w:b/>
          <w:bCs/>
          <w:sz w:val="28"/>
          <w:szCs w:val="28"/>
        </w:rPr>
      </w:pPr>
      <w:r w:rsidRPr="00B8419A">
        <w:rPr>
          <w:b/>
          <w:bCs/>
          <w:sz w:val="28"/>
          <w:szCs w:val="28"/>
        </w:rPr>
        <w:t>DIVISION FOR THE BLIND AND VISUALLY IMPAIRED</w:t>
      </w:r>
    </w:p>
    <w:p w14:paraId="713A5A3B" w14:textId="77777777" w:rsidR="00B8419A" w:rsidRPr="00B8419A" w:rsidRDefault="00B8419A" w:rsidP="00B8419A">
      <w:pPr>
        <w:pStyle w:val="BodyText"/>
        <w:spacing w:before="0"/>
        <w:jc w:val="center"/>
        <w:rPr>
          <w:b/>
          <w:bCs/>
          <w:sz w:val="28"/>
          <w:szCs w:val="28"/>
        </w:rPr>
      </w:pPr>
    </w:p>
    <w:p w14:paraId="69BF72C5" w14:textId="3D47C211" w:rsidR="00454893" w:rsidRPr="00B8419A" w:rsidRDefault="00454893" w:rsidP="00B8419A">
      <w:pPr>
        <w:pStyle w:val="BodyText"/>
        <w:spacing w:before="0"/>
        <w:jc w:val="center"/>
        <w:rPr>
          <w:b/>
          <w:bCs/>
          <w:sz w:val="28"/>
          <w:szCs w:val="28"/>
        </w:rPr>
      </w:pPr>
      <w:r w:rsidRPr="00B8419A">
        <w:rPr>
          <w:b/>
          <w:bCs/>
          <w:sz w:val="28"/>
          <w:szCs w:val="28"/>
        </w:rPr>
        <w:t>ON THE JOB TRAINING AGREEMENT</w:t>
      </w:r>
    </w:p>
    <w:p w14:paraId="70A2E893" w14:textId="77777777" w:rsidR="00454893" w:rsidRDefault="00454893" w:rsidP="00B8419A">
      <w:pPr>
        <w:pStyle w:val="BodyText"/>
        <w:spacing w:before="0"/>
      </w:pPr>
    </w:p>
    <w:p w14:paraId="34C136A8" w14:textId="5E4455D8" w:rsidR="00454893" w:rsidRDefault="00454893" w:rsidP="00B8419A">
      <w:pPr>
        <w:pStyle w:val="BodyText"/>
        <w:spacing w:before="0"/>
      </w:pPr>
      <w:r>
        <w:t>This agreement by and between the State of Vermont, Department of Disabilities, Aging and Independent Living, acting by and through the Department's Division for the Blind and Visually Impaired (DBVI) and _____</w:t>
      </w:r>
      <w:r w:rsidR="00891F03">
        <w:t>_____________</w:t>
      </w:r>
      <w:r>
        <w:t>__________ ("Trainer/Employer”), and _________</w:t>
      </w:r>
      <w:r w:rsidR="00891F03">
        <w:t>____________</w:t>
      </w:r>
      <w:r>
        <w:t>_____("Consumer”) as follows:</w:t>
      </w:r>
    </w:p>
    <w:p w14:paraId="5074ED11" w14:textId="77777777" w:rsidR="00B8419A" w:rsidRDefault="00B8419A" w:rsidP="00B8419A">
      <w:pPr>
        <w:pStyle w:val="BodyText"/>
        <w:spacing w:before="0"/>
      </w:pPr>
    </w:p>
    <w:p w14:paraId="73747EB9" w14:textId="30B7969E" w:rsidR="00454893" w:rsidRDefault="00454893" w:rsidP="00B8419A">
      <w:pPr>
        <w:pStyle w:val="BodyText"/>
        <w:spacing w:before="0"/>
      </w:pPr>
      <w:r>
        <w:t>On the Job training shall be provided to consumer for the position of________</w:t>
      </w:r>
      <w:r w:rsidR="00891F03">
        <w:t>___</w:t>
      </w:r>
      <w:r>
        <w:t>____________________.  This training will begin on date and will extend for the training period of weeks/months.</w:t>
      </w:r>
    </w:p>
    <w:p w14:paraId="0E1A0564" w14:textId="77777777" w:rsidR="00B8419A" w:rsidRDefault="00B8419A" w:rsidP="00B8419A">
      <w:pPr>
        <w:pStyle w:val="BodyText"/>
        <w:spacing w:before="0"/>
      </w:pPr>
    </w:p>
    <w:p w14:paraId="2973E397" w14:textId="067CFAE2" w:rsidR="00454893" w:rsidRDefault="00454893" w:rsidP="00B8419A">
      <w:pPr>
        <w:pStyle w:val="BodyText"/>
        <w:spacing w:before="0"/>
      </w:pPr>
      <w:r>
        <w:t>(DBV</w:t>
      </w:r>
      <w:r w:rsidR="00891F03">
        <w:t>I</w:t>
      </w:r>
      <w:r>
        <w:t>) agrees to provide all necessary accom</w:t>
      </w:r>
      <w:r w:rsidR="00891F03">
        <w:t>m</w:t>
      </w:r>
      <w:r>
        <w:t xml:space="preserve">odations, including job coach as necessary and adaptive equipment and aids, as deemed appropriate. </w:t>
      </w:r>
    </w:p>
    <w:p w14:paraId="2E965B0F" w14:textId="174D8693" w:rsidR="00454893" w:rsidRDefault="00454893" w:rsidP="00B8419A">
      <w:pPr>
        <w:pStyle w:val="BodyText"/>
        <w:spacing w:before="0"/>
      </w:pPr>
      <w:r>
        <w:t xml:space="preserve"> (DBVI) agrees to pay Trainer/Employer a training fee of $</w:t>
      </w:r>
      <w:r w:rsidR="000A1E3C">
        <w:t>_____</w:t>
      </w:r>
      <w:r>
        <w:t>/month, to be invoiced monthly.</w:t>
      </w:r>
    </w:p>
    <w:p w14:paraId="1430868D" w14:textId="24A69E33" w:rsidR="00B8419A" w:rsidRDefault="00B8419A" w:rsidP="00B8419A">
      <w:pPr>
        <w:pStyle w:val="BodyText"/>
        <w:spacing w:before="0"/>
      </w:pPr>
    </w:p>
    <w:p w14:paraId="25616942" w14:textId="034FC843" w:rsidR="00454893" w:rsidRDefault="00454893" w:rsidP="00B8419A">
      <w:pPr>
        <w:pStyle w:val="BodyText"/>
        <w:spacing w:before="0"/>
      </w:pPr>
      <w:r>
        <w:t>This agreement may be terminated by (DBVI), ("Trainer/Employer"), or ("Consumer"), by providing written notice (5) days in advance. In the event the agreement is terminated, (DBVI) shall be liable for payment for only those services performed prior to the effective date of termination.</w:t>
      </w:r>
    </w:p>
    <w:p w14:paraId="26C25389" w14:textId="77777777" w:rsidR="00B8419A" w:rsidRDefault="00B8419A" w:rsidP="00B8419A">
      <w:pPr>
        <w:pStyle w:val="BodyText"/>
        <w:spacing w:before="0"/>
      </w:pPr>
    </w:p>
    <w:p w14:paraId="362A892B" w14:textId="070648C8" w:rsidR="00B80D74" w:rsidRDefault="00454893" w:rsidP="00B8419A">
      <w:pPr>
        <w:pStyle w:val="BodyText"/>
        <w:spacing w:before="0"/>
      </w:pPr>
      <w:r>
        <w:t>__________________________________</w:t>
      </w:r>
      <w:r w:rsidR="00B80D74">
        <w:t>______</w:t>
      </w:r>
      <w:r>
        <w:t>____________Date: ______________</w:t>
      </w:r>
      <w:r w:rsidR="00B80D74">
        <w:t>__</w:t>
      </w:r>
      <w:r>
        <w:t xml:space="preserve">_ </w:t>
      </w:r>
    </w:p>
    <w:p w14:paraId="70F03E95" w14:textId="71F9F33A" w:rsidR="003A6E58" w:rsidRDefault="00FE5F72" w:rsidP="00B8419A">
      <w:pPr>
        <w:pStyle w:val="BodyText"/>
        <w:spacing w:before="0"/>
      </w:pPr>
      <w:r>
        <w:t xml:space="preserve">DBVI </w:t>
      </w:r>
      <w:r w:rsidR="00B80D74">
        <w:t>Consumer</w:t>
      </w:r>
    </w:p>
    <w:p w14:paraId="6845B832" w14:textId="2A58EA68" w:rsidR="00B80D74" w:rsidRDefault="00B80D74" w:rsidP="00B8419A">
      <w:pPr>
        <w:pStyle w:val="BodyText"/>
        <w:spacing w:before="0"/>
      </w:pPr>
    </w:p>
    <w:p w14:paraId="30256B7A" w14:textId="77777777" w:rsidR="00FE5F72" w:rsidRDefault="00FE5F72" w:rsidP="00B8419A">
      <w:pPr>
        <w:pStyle w:val="BodyText"/>
        <w:spacing w:before="0"/>
      </w:pPr>
    </w:p>
    <w:p w14:paraId="45D4B3F2" w14:textId="12DEBA32" w:rsidR="00B80D74" w:rsidRDefault="00B80D74" w:rsidP="00B8419A">
      <w:pPr>
        <w:pStyle w:val="BodyText"/>
        <w:spacing w:before="0"/>
      </w:pPr>
      <w:r>
        <w:t>____________________________________________________</w:t>
      </w:r>
      <w:proofErr w:type="gramStart"/>
      <w:r>
        <w:t>Date:_</w:t>
      </w:r>
      <w:proofErr w:type="gramEnd"/>
      <w:r>
        <w:t>________________</w:t>
      </w:r>
    </w:p>
    <w:p w14:paraId="5666D57F" w14:textId="2698FD0A" w:rsidR="00B80D74" w:rsidRDefault="00B80D74" w:rsidP="00B8419A">
      <w:pPr>
        <w:pStyle w:val="BodyText"/>
        <w:spacing w:before="0"/>
      </w:pPr>
      <w:r>
        <w:t>Employer/Trainer</w:t>
      </w:r>
    </w:p>
    <w:p w14:paraId="56303AAE" w14:textId="77777777" w:rsidR="00FE5F72" w:rsidRDefault="00FE5F72" w:rsidP="00B8419A">
      <w:pPr>
        <w:pStyle w:val="BodyText"/>
        <w:spacing w:before="0"/>
      </w:pPr>
    </w:p>
    <w:p w14:paraId="35748CF9" w14:textId="5350FC2E" w:rsidR="00B80D74" w:rsidRDefault="00B80D74" w:rsidP="00B8419A">
      <w:pPr>
        <w:pStyle w:val="BodyText"/>
        <w:spacing w:before="0"/>
      </w:pPr>
    </w:p>
    <w:p w14:paraId="64E754BD" w14:textId="569DF53F" w:rsidR="00B80D74" w:rsidRDefault="00B80D74" w:rsidP="00B8419A">
      <w:pPr>
        <w:pStyle w:val="BodyText"/>
        <w:spacing w:before="0"/>
      </w:pPr>
      <w:r>
        <w:t>____________________________________________________</w:t>
      </w:r>
      <w:proofErr w:type="gramStart"/>
      <w:r>
        <w:t>Date:_</w:t>
      </w:r>
      <w:proofErr w:type="gramEnd"/>
      <w:r>
        <w:t>________________</w:t>
      </w:r>
    </w:p>
    <w:p w14:paraId="04D658EB" w14:textId="7C38EA3F" w:rsidR="00B80D74" w:rsidRDefault="00B80D74" w:rsidP="00B8419A">
      <w:pPr>
        <w:pStyle w:val="BodyText"/>
        <w:spacing w:before="0"/>
      </w:pPr>
      <w:r>
        <w:t>DBVI</w:t>
      </w:r>
      <w:r w:rsidR="00B8419A">
        <w:t>/VABIR</w:t>
      </w:r>
    </w:p>
    <w:p w14:paraId="7D4FFFE4" w14:textId="0118D24E" w:rsidR="003A6E58" w:rsidRDefault="003A6E58" w:rsidP="00B8419A">
      <w:pPr>
        <w:pStyle w:val="BodyText"/>
        <w:spacing w:before="0"/>
      </w:pPr>
    </w:p>
    <w:p w14:paraId="3048B335" w14:textId="700FCCEC" w:rsidR="003A6E58" w:rsidRDefault="003A6E58" w:rsidP="00B8419A">
      <w:pPr>
        <w:pStyle w:val="BodyText"/>
        <w:spacing w:before="0"/>
      </w:pPr>
    </w:p>
    <w:p w14:paraId="293568D1" w14:textId="0102EB87" w:rsidR="003A6E58" w:rsidRDefault="003A6E58" w:rsidP="00B8419A">
      <w:pPr>
        <w:pStyle w:val="BodyText"/>
        <w:spacing w:before="0"/>
      </w:pPr>
    </w:p>
    <w:p w14:paraId="68124619" w14:textId="201825CC" w:rsidR="003A6E58" w:rsidRDefault="003A6E58" w:rsidP="00B8419A">
      <w:pPr>
        <w:pStyle w:val="BodyText"/>
        <w:spacing w:before="0"/>
      </w:pPr>
    </w:p>
    <w:p w14:paraId="596EB396" w14:textId="06EC6F57" w:rsidR="003A6E58" w:rsidRDefault="003A6E58" w:rsidP="00B8419A">
      <w:pPr>
        <w:pStyle w:val="BodyText"/>
        <w:spacing w:before="0"/>
      </w:pPr>
    </w:p>
    <w:p w14:paraId="37781B06" w14:textId="15B1746C" w:rsidR="003A6E58" w:rsidRDefault="003A6E58" w:rsidP="00B8419A">
      <w:pPr>
        <w:pStyle w:val="BodyText"/>
        <w:spacing w:before="0"/>
      </w:pPr>
    </w:p>
    <w:p w14:paraId="53CC1266" w14:textId="56EAB19D" w:rsidR="003A6E58" w:rsidRDefault="003A6E58" w:rsidP="00B8419A">
      <w:pPr>
        <w:pStyle w:val="BodyText"/>
        <w:spacing w:before="0"/>
      </w:pPr>
    </w:p>
    <w:p w14:paraId="04ACB6B8" w14:textId="70EA6CC9" w:rsidR="003A6E58" w:rsidRDefault="003A6E58" w:rsidP="00B8419A">
      <w:pPr>
        <w:pStyle w:val="BodyText"/>
        <w:spacing w:before="0"/>
      </w:pPr>
    </w:p>
    <w:p w14:paraId="6C5C40D8" w14:textId="2E7F7198" w:rsidR="003A6E58" w:rsidRDefault="003A6E58" w:rsidP="00B8419A">
      <w:pPr>
        <w:pStyle w:val="BodyText"/>
        <w:spacing w:before="0"/>
      </w:pPr>
    </w:p>
    <w:p w14:paraId="6A358DB0" w14:textId="1BFFECC2" w:rsidR="00B8419A" w:rsidRDefault="00B8419A" w:rsidP="00B8419A">
      <w:pPr>
        <w:pStyle w:val="BodyText"/>
        <w:spacing w:before="0"/>
      </w:pPr>
    </w:p>
    <w:p w14:paraId="15F670FA" w14:textId="2602DE16" w:rsidR="00FE5F72" w:rsidRPr="005061A7" w:rsidRDefault="005061A7" w:rsidP="005061A7">
      <w:pPr>
        <w:pStyle w:val="BodyText"/>
        <w:spacing w:before="0"/>
        <w:outlineLvl w:val="0"/>
        <w:rPr>
          <w:sz w:val="28"/>
          <w:szCs w:val="28"/>
        </w:rPr>
      </w:pPr>
      <w:bookmarkStart w:id="8" w:name="_Toc63234417"/>
      <w:bookmarkStart w:id="9" w:name="_Toc63234563"/>
      <w:r w:rsidRPr="005061A7">
        <w:rPr>
          <w:sz w:val="28"/>
          <w:szCs w:val="28"/>
        </w:rPr>
        <w:lastRenderedPageBreak/>
        <w:t>A</w:t>
      </w:r>
      <w:r w:rsidR="00404E2F">
        <w:rPr>
          <w:sz w:val="28"/>
          <w:szCs w:val="28"/>
        </w:rPr>
        <w:t>ttachment</w:t>
      </w:r>
      <w:r w:rsidRPr="005061A7">
        <w:rPr>
          <w:sz w:val="28"/>
          <w:szCs w:val="28"/>
        </w:rPr>
        <w:t xml:space="preserve"> B</w:t>
      </w:r>
      <w:bookmarkEnd w:id="8"/>
      <w:bookmarkEnd w:id="9"/>
    </w:p>
    <w:p w14:paraId="155978D8" w14:textId="77777777" w:rsidR="005061A7" w:rsidRDefault="005061A7" w:rsidP="005061A7">
      <w:pPr>
        <w:pStyle w:val="BodyText"/>
        <w:spacing w:before="0"/>
        <w:rPr>
          <w:b/>
          <w:bCs/>
          <w:sz w:val="28"/>
          <w:szCs w:val="28"/>
        </w:rPr>
      </w:pPr>
    </w:p>
    <w:p w14:paraId="24F46644" w14:textId="24FCEC00" w:rsidR="00B8419A" w:rsidRPr="00B8419A" w:rsidRDefault="00B8419A" w:rsidP="00B8419A">
      <w:pPr>
        <w:pStyle w:val="BodyText"/>
        <w:spacing w:before="0"/>
        <w:jc w:val="center"/>
        <w:rPr>
          <w:b/>
          <w:bCs/>
          <w:sz w:val="28"/>
          <w:szCs w:val="28"/>
        </w:rPr>
      </w:pPr>
      <w:r w:rsidRPr="00B8419A">
        <w:rPr>
          <w:b/>
          <w:bCs/>
          <w:sz w:val="28"/>
          <w:szCs w:val="28"/>
        </w:rPr>
        <w:t>DEPARTMENT OF DISABILITIES, AGING, AND INDEPENDENT LIVING</w:t>
      </w:r>
    </w:p>
    <w:p w14:paraId="4F03F70C" w14:textId="77777777" w:rsidR="00B8419A" w:rsidRPr="00B8419A" w:rsidRDefault="00B8419A" w:rsidP="00B8419A">
      <w:pPr>
        <w:pStyle w:val="BodyText"/>
        <w:spacing w:before="0"/>
        <w:jc w:val="center"/>
        <w:rPr>
          <w:b/>
          <w:bCs/>
          <w:sz w:val="28"/>
          <w:szCs w:val="28"/>
        </w:rPr>
      </w:pPr>
      <w:r w:rsidRPr="00B8419A">
        <w:rPr>
          <w:b/>
          <w:bCs/>
          <w:sz w:val="28"/>
          <w:szCs w:val="28"/>
        </w:rPr>
        <w:t>DIVISION FOR THE BLIND AND VISUALLY IMPAIRED</w:t>
      </w:r>
    </w:p>
    <w:p w14:paraId="662977F9" w14:textId="77777777" w:rsidR="00B8419A" w:rsidRDefault="00B8419A" w:rsidP="00B8419A">
      <w:pPr>
        <w:pStyle w:val="BodyText"/>
        <w:spacing w:before="0"/>
      </w:pPr>
    </w:p>
    <w:p w14:paraId="5FEC8BE2" w14:textId="77777777" w:rsidR="00B8419A" w:rsidRPr="00B8419A" w:rsidRDefault="00B8419A" w:rsidP="00B8419A">
      <w:pPr>
        <w:pStyle w:val="BodyText"/>
        <w:spacing w:before="0"/>
        <w:jc w:val="center"/>
        <w:rPr>
          <w:b/>
          <w:bCs/>
          <w:sz w:val="28"/>
          <w:szCs w:val="28"/>
        </w:rPr>
      </w:pPr>
      <w:r w:rsidRPr="00B8419A">
        <w:rPr>
          <w:b/>
          <w:bCs/>
          <w:sz w:val="28"/>
          <w:szCs w:val="28"/>
        </w:rPr>
        <w:t>Work Based Learning Agreement</w:t>
      </w:r>
    </w:p>
    <w:p w14:paraId="10BF43AE" w14:textId="2D2D064C" w:rsidR="00B8419A" w:rsidRDefault="00B8419A" w:rsidP="00B8419A">
      <w:pPr>
        <w:pStyle w:val="BodyText"/>
        <w:spacing w:before="0"/>
      </w:pPr>
    </w:p>
    <w:p w14:paraId="3357635B" w14:textId="77777777" w:rsidR="00B8419A" w:rsidRDefault="00B8419A" w:rsidP="00B8419A">
      <w:pPr>
        <w:pStyle w:val="BodyText"/>
        <w:spacing w:before="0"/>
      </w:pPr>
    </w:p>
    <w:p w14:paraId="1494373D" w14:textId="77777777" w:rsidR="00B8419A" w:rsidRDefault="00B8419A" w:rsidP="00B8419A">
      <w:pPr>
        <w:pStyle w:val="BodyText"/>
        <w:spacing w:before="0"/>
      </w:pPr>
      <w:r>
        <w:t>This agreement by and between the State of Vermont, Department of Disabilities, Aging and Independent Living, acting by and through the Department's Division for the Blind and Visually Impaired (DBVI), (Trainer/Employer), and (DBVI Consumer) as follows:</w:t>
      </w:r>
    </w:p>
    <w:p w14:paraId="1517EE83" w14:textId="77777777" w:rsidR="00B8419A" w:rsidRDefault="00B8419A" w:rsidP="00B8419A">
      <w:pPr>
        <w:pStyle w:val="BodyText"/>
        <w:spacing w:before="0"/>
      </w:pPr>
    </w:p>
    <w:p w14:paraId="5225D8C7" w14:textId="13E424FA" w:rsidR="00B8419A" w:rsidRDefault="00B8419A" w:rsidP="00B8419A">
      <w:pPr>
        <w:pStyle w:val="BodyText"/>
        <w:spacing w:before="0"/>
      </w:pPr>
      <w:r>
        <w:t xml:space="preserve">A Work Based Learning opportunity will be provided for consumer for the position of (job title).  This work-based learning experience will begin on (date) and will extend for a period of (# weeks, # hours per day, specify training days and times of the week).  </w:t>
      </w:r>
    </w:p>
    <w:p w14:paraId="10FA252F" w14:textId="77777777" w:rsidR="00B8419A" w:rsidRDefault="00B8419A" w:rsidP="00B8419A">
      <w:pPr>
        <w:pStyle w:val="BodyText"/>
        <w:spacing w:before="0"/>
      </w:pPr>
    </w:p>
    <w:p w14:paraId="67713C36" w14:textId="77777777" w:rsidR="00B8419A" w:rsidRDefault="00B8419A" w:rsidP="00B8419A">
      <w:pPr>
        <w:pStyle w:val="BodyText"/>
        <w:spacing w:before="0"/>
      </w:pPr>
      <w:r>
        <w:t>DBVI agrees to provide all necessary accommodations deemed appropriate.</w:t>
      </w:r>
    </w:p>
    <w:p w14:paraId="7E1FD009" w14:textId="77777777" w:rsidR="00B8419A" w:rsidRDefault="00B8419A" w:rsidP="00B8419A">
      <w:pPr>
        <w:pStyle w:val="BodyText"/>
        <w:spacing w:before="0"/>
      </w:pPr>
    </w:p>
    <w:p w14:paraId="257CE31B" w14:textId="77777777" w:rsidR="00B8419A" w:rsidRDefault="00B8419A" w:rsidP="00B8419A">
      <w:pPr>
        <w:pStyle w:val="BodyText"/>
        <w:spacing w:before="0"/>
      </w:pPr>
      <w:r>
        <w:t xml:space="preserve">The Trainer/Employer shall not be held liable for any injury incurred by DBVI Consumer for the duration of this agreement.  The DBVI consumer is covered under the State of Vermont’s risk management policy. </w:t>
      </w:r>
    </w:p>
    <w:p w14:paraId="432143C6" w14:textId="77777777" w:rsidR="00B8419A" w:rsidRDefault="00B8419A" w:rsidP="00B8419A">
      <w:pPr>
        <w:pStyle w:val="BodyText"/>
        <w:spacing w:before="0"/>
      </w:pPr>
    </w:p>
    <w:p w14:paraId="6E31C8E9" w14:textId="39C38E06" w:rsidR="00B8419A" w:rsidRDefault="00B8419A" w:rsidP="00B8419A">
      <w:pPr>
        <w:pStyle w:val="BodyText"/>
        <w:spacing w:before="0"/>
      </w:pPr>
      <w:r>
        <w:t>DBVI shall provide a training offset in the amount of ($/day up to $/week) to DBVI Consumer.  This is not considered a wage.  Time reports are to be submitted (weekly to DBVI via fax or email).</w:t>
      </w:r>
    </w:p>
    <w:p w14:paraId="06F58583" w14:textId="77777777" w:rsidR="00B8419A" w:rsidRDefault="00B8419A" w:rsidP="00B8419A">
      <w:pPr>
        <w:pStyle w:val="BodyText"/>
        <w:spacing w:before="0"/>
      </w:pPr>
    </w:p>
    <w:p w14:paraId="140FB79A" w14:textId="77777777" w:rsidR="00B8419A" w:rsidRDefault="00B8419A" w:rsidP="00B8419A">
      <w:pPr>
        <w:pStyle w:val="BodyText"/>
        <w:spacing w:before="0"/>
      </w:pPr>
      <w:r>
        <w:t xml:space="preserve">This agreement may be terminated or extended by DBVI, Trainer/Employer, or DBVI Consumer as deemed necessary. </w:t>
      </w:r>
    </w:p>
    <w:p w14:paraId="3A034D96" w14:textId="57C7467C" w:rsidR="00B8419A" w:rsidRDefault="00B8419A" w:rsidP="00B8419A">
      <w:pPr>
        <w:pStyle w:val="BodyText"/>
        <w:spacing w:before="0"/>
      </w:pPr>
    </w:p>
    <w:p w14:paraId="12E7E1FC" w14:textId="77777777" w:rsidR="00FE5F72" w:rsidRDefault="00FE5F72" w:rsidP="00B8419A">
      <w:pPr>
        <w:pStyle w:val="BodyText"/>
        <w:spacing w:before="0"/>
      </w:pPr>
    </w:p>
    <w:p w14:paraId="2BC447A3" w14:textId="72182E1C" w:rsidR="00B8419A" w:rsidRDefault="00FE5F72" w:rsidP="00B8419A">
      <w:pPr>
        <w:pStyle w:val="BodyText"/>
        <w:spacing w:before="0"/>
      </w:pPr>
      <w:r>
        <w:t>________________________________________________________</w:t>
      </w:r>
      <w:proofErr w:type="gramStart"/>
      <w:r>
        <w:t>Date:_</w:t>
      </w:r>
      <w:proofErr w:type="gramEnd"/>
      <w:r>
        <w:t>_________</w:t>
      </w:r>
    </w:p>
    <w:p w14:paraId="23FD1162" w14:textId="12B95A0B" w:rsidR="00B8419A" w:rsidRDefault="00B8419A" w:rsidP="00B8419A">
      <w:pPr>
        <w:pStyle w:val="BodyText"/>
        <w:spacing w:before="0"/>
      </w:pPr>
      <w:r>
        <w:t>DBVI Consumer</w:t>
      </w:r>
    </w:p>
    <w:p w14:paraId="3E9095EC" w14:textId="73369731" w:rsidR="00B8419A" w:rsidRDefault="00B8419A" w:rsidP="00B8419A">
      <w:pPr>
        <w:pStyle w:val="BodyText"/>
        <w:spacing w:before="0"/>
      </w:pPr>
    </w:p>
    <w:p w14:paraId="4BD456DA" w14:textId="24ADECDF" w:rsidR="00B8419A" w:rsidRDefault="00FE5F72" w:rsidP="00B8419A">
      <w:pPr>
        <w:pStyle w:val="BodyText"/>
        <w:spacing w:before="0"/>
      </w:pPr>
      <w:r>
        <w:t>________________________________________________________</w:t>
      </w:r>
      <w:proofErr w:type="gramStart"/>
      <w:r>
        <w:t>Date:_</w:t>
      </w:r>
      <w:proofErr w:type="gramEnd"/>
      <w:r>
        <w:t>__________</w:t>
      </w:r>
    </w:p>
    <w:p w14:paraId="2C14B40D" w14:textId="32FE9929" w:rsidR="00B8419A" w:rsidRDefault="00B8419A" w:rsidP="00B8419A">
      <w:pPr>
        <w:pStyle w:val="BodyText"/>
        <w:spacing w:before="0"/>
      </w:pPr>
      <w:r>
        <w:t>Trainer/Employe</w:t>
      </w:r>
      <w:r w:rsidR="00FE5F72">
        <w:t>r</w:t>
      </w:r>
    </w:p>
    <w:p w14:paraId="314C1BCF" w14:textId="506EDCB8" w:rsidR="00B8419A" w:rsidRDefault="00B8419A" w:rsidP="00B8419A">
      <w:pPr>
        <w:pStyle w:val="BodyText"/>
        <w:spacing w:before="0"/>
      </w:pPr>
    </w:p>
    <w:p w14:paraId="4FD399CF" w14:textId="7952B592" w:rsidR="00B8419A" w:rsidRDefault="00FE5F72" w:rsidP="00B8419A">
      <w:pPr>
        <w:pStyle w:val="BodyText"/>
        <w:spacing w:before="0"/>
      </w:pPr>
      <w:r>
        <w:t>________________________________________________________</w:t>
      </w:r>
      <w:proofErr w:type="gramStart"/>
      <w:r>
        <w:t>Date:_</w:t>
      </w:r>
      <w:proofErr w:type="gramEnd"/>
      <w:r>
        <w:t>_________</w:t>
      </w:r>
    </w:p>
    <w:p w14:paraId="70794F70" w14:textId="5A390024" w:rsidR="003A6E58" w:rsidRDefault="00B8419A" w:rsidP="00B8419A">
      <w:pPr>
        <w:pStyle w:val="BodyText"/>
        <w:spacing w:before="0"/>
      </w:pPr>
      <w:r>
        <w:t>DBVI/VABIR</w:t>
      </w:r>
    </w:p>
    <w:p w14:paraId="2E1224B8" w14:textId="09177E4A" w:rsidR="003A6E58" w:rsidRDefault="003A6E58" w:rsidP="00B8419A">
      <w:pPr>
        <w:pStyle w:val="BodyText"/>
        <w:spacing w:before="0"/>
      </w:pPr>
    </w:p>
    <w:p w14:paraId="65548F62" w14:textId="780D8CC6" w:rsidR="003A6E58" w:rsidRDefault="003A6E58" w:rsidP="003A6E58">
      <w:pPr>
        <w:pStyle w:val="BodyText"/>
        <w:spacing w:before="0"/>
      </w:pPr>
    </w:p>
    <w:p w14:paraId="2A5F5A7F" w14:textId="77777777" w:rsidR="003A6E58" w:rsidRDefault="003A6E58" w:rsidP="003A6E58">
      <w:pPr>
        <w:pStyle w:val="BodyText"/>
        <w:spacing w:before="0"/>
      </w:pPr>
    </w:p>
    <w:sectPr w:rsidR="003A6E58"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26F10" w14:textId="77777777" w:rsidR="00995595" w:rsidRDefault="00995595" w:rsidP="00B847F0">
      <w:r>
        <w:separator/>
      </w:r>
    </w:p>
  </w:endnote>
  <w:endnote w:type="continuationSeparator" w:id="0">
    <w:p w14:paraId="552FD621" w14:textId="77777777" w:rsidR="00995595" w:rsidRDefault="00995595"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A1998" w14:textId="77777777" w:rsidR="00995595" w:rsidRDefault="00995595" w:rsidP="00B847F0">
      <w:r>
        <w:separator/>
      </w:r>
    </w:p>
  </w:footnote>
  <w:footnote w:type="continuationSeparator" w:id="0">
    <w:p w14:paraId="4B2D58B1" w14:textId="77777777" w:rsidR="00995595" w:rsidRDefault="00995595"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5BB1" w14:textId="32214623" w:rsidR="00BE3882" w:rsidRDefault="00E308A0" w:rsidP="00E66FFC">
    <w:pPr>
      <w:pStyle w:val="Header"/>
    </w:pPr>
    <w:fldSimple w:instr=" REF  ChapterNumber  \* MERGEFORMAT ">
      <w:r w:rsidRPr="00217CE9">
        <w:t>Chapter</w:t>
      </w:r>
      <w:r>
        <w:t xml:space="preserve"> 5:</w:t>
      </w:r>
    </w:fldSimple>
    <w:r w:rsidR="00BE3882">
      <w:t xml:space="preserve"> </w:t>
    </w:r>
    <w:r w:rsidR="007965E8">
      <w:t>Training</w:t>
    </w:r>
  </w:p>
  <w:p w14:paraId="3BAE870B" w14:textId="5562A814"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FE5F72">
      <w:t>June</w:t>
    </w:r>
    <w:r w:rsidR="00A34A37">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DE554E"/>
    <w:multiLevelType w:val="hybridMultilevel"/>
    <w:tmpl w:val="91781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AE4D0F"/>
    <w:multiLevelType w:val="hybridMultilevel"/>
    <w:tmpl w:val="AE9C4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061C3"/>
    <w:multiLevelType w:val="multilevel"/>
    <w:tmpl w:val="584837F6"/>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rPr>
        <w:rFonts w:ascii="Franklin Gothic Book" w:eastAsiaTheme="minorHAnsi" w:hAnsi="Franklin Gothic Book" w:cstheme="minorBidi"/>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ascii="Franklin Gothic Book" w:eastAsiaTheme="minorHAnsi" w:hAnsi="Franklin Gothic Book" w:cstheme="minorBidi"/>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E11551E"/>
    <w:multiLevelType w:val="hybridMultilevel"/>
    <w:tmpl w:val="8B467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CF445F"/>
    <w:multiLevelType w:val="multilevel"/>
    <w:tmpl w:val="584837F6"/>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rPr>
        <w:rFonts w:ascii="Franklin Gothic Book" w:eastAsiaTheme="minorHAnsi" w:hAnsi="Franklin Gothic Book" w:cstheme="minorBidi"/>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ascii="Franklin Gothic Book" w:eastAsiaTheme="minorHAnsi" w:hAnsi="Franklin Gothic Book" w:cstheme="minorBidi"/>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1D4A4C58"/>
    <w:multiLevelType w:val="hybridMultilevel"/>
    <w:tmpl w:val="275C6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85EA1"/>
    <w:multiLevelType w:val="hybridMultilevel"/>
    <w:tmpl w:val="134CA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B5024"/>
    <w:multiLevelType w:val="hybridMultilevel"/>
    <w:tmpl w:val="697C49F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769F5"/>
    <w:multiLevelType w:val="multilevel"/>
    <w:tmpl w:val="35580110"/>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2"/>
      <w:numFmt w:val="decimal"/>
      <w:lvlText w:val="(%4)"/>
      <w:lvlJc w:val="left"/>
      <w:pPr>
        <w:ind w:left="1800" w:hanging="360"/>
      </w:pPr>
      <w:rPr>
        <w:rFonts w:hint="default"/>
      </w:rPr>
    </w:lvl>
    <w:lvl w:ilvl="4">
      <w:start w:val="1"/>
      <w:numFmt w:val="lowerLetter"/>
      <w:lvlText w:val="%5."/>
      <w:lvlJc w:val="left"/>
      <w:pPr>
        <w:ind w:left="2160" w:hanging="360"/>
      </w:pPr>
      <w:rPr>
        <w:rFonts w:ascii="Franklin Gothic Book" w:eastAsiaTheme="minorHAnsi" w:hAnsi="Franklin Gothic Book" w:cstheme="minorBidi"/>
      </w:rPr>
    </w:lvl>
    <w:lvl w:ilvl="5">
      <w:start w:val="1"/>
      <w:numFmt w:val="lowerLetter"/>
      <w:lvlText w:val="%6."/>
      <w:lvlJc w:val="left"/>
      <w:pPr>
        <w:ind w:left="2520" w:hanging="360"/>
      </w:pPr>
      <w:rPr>
        <w:rFonts w:ascii="Franklin Gothic Book" w:eastAsiaTheme="minorHAnsi" w:hAnsi="Franklin Gothic Book" w:cstheme="minorBidi"/>
      </w:rPr>
    </w:lvl>
    <w:lvl w:ilvl="6">
      <w:start w:val="1"/>
      <w:numFmt w:val="decimal"/>
      <w:lvlText w:val="%7."/>
      <w:lvlJc w:val="left"/>
      <w:pPr>
        <w:ind w:left="2880" w:hanging="360"/>
      </w:pPr>
      <w:rPr>
        <w:rFonts w:ascii="Franklin Gothic Book" w:eastAsiaTheme="minorHAnsi" w:hAnsi="Franklin Gothic Book" w:cstheme="minorBidi"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9920F33"/>
    <w:multiLevelType w:val="hybridMultilevel"/>
    <w:tmpl w:val="801C3C34"/>
    <w:lvl w:ilvl="0" w:tplc="0409000F">
      <w:start w:val="1"/>
      <w:numFmt w:val="decimal"/>
      <w:lvlText w:val="%1."/>
      <w:lvlJc w:val="left"/>
      <w:pPr>
        <w:ind w:left="720" w:hanging="360"/>
      </w:pPr>
    </w:lvl>
    <w:lvl w:ilvl="1" w:tplc="EB5269F6">
      <w:start w:val="1"/>
      <w:numFmt w:val="decimal"/>
      <w:lvlText w:val="(%2)"/>
      <w:lvlJc w:val="left"/>
      <w:pPr>
        <w:ind w:left="1440" w:hanging="360"/>
      </w:pPr>
      <w:rPr>
        <w:rFonts w:ascii="Franklin Gothic Book" w:eastAsiaTheme="minorHAnsi" w:hAnsi="Franklin Gothic Book" w:cstheme="minorBidi"/>
      </w:rPr>
    </w:lvl>
    <w:lvl w:ilvl="2" w:tplc="0409001B">
      <w:start w:val="1"/>
      <w:numFmt w:val="lowerRoman"/>
      <w:lvlText w:val="%3."/>
      <w:lvlJc w:val="right"/>
      <w:pPr>
        <w:ind w:left="2160" w:hanging="180"/>
      </w:pPr>
    </w:lvl>
    <w:lvl w:ilvl="3" w:tplc="AEA6BD4A">
      <w:start w:val="1"/>
      <w:numFmt w:val="decimal"/>
      <w:lvlText w:val="(%4)"/>
      <w:lvlJc w:val="left"/>
      <w:pPr>
        <w:ind w:left="2880" w:hanging="360"/>
      </w:pPr>
      <w:rPr>
        <w:rFonts w:ascii="Franklin Gothic Book" w:eastAsiaTheme="minorHAnsi" w:hAnsi="Franklin Gothic Book"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2BAD3640"/>
    <w:multiLevelType w:val="multilevel"/>
    <w:tmpl w:val="EF040F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ascii="Franklin Gothic Book" w:eastAsiaTheme="minorHAnsi" w:hAnsi="Franklin Gothic Book" w:cstheme="minorBid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ascii="Franklin Gothic Book" w:eastAsiaTheme="minorHAnsi" w:hAnsi="Franklin Gothic Book" w:cstheme="minorBidi"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EF07069"/>
    <w:multiLevelType w:val="hybridMultilevel"/>
    <w:tmpl w:val="BF5EE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34C0C"/>
    <w:multiLevelType w:val="hybridMultilevel"/>
    <w:tmpl w:val="2E8C2A20"/>
    <w:lvl w:ilvl="0" w:tplc="F4CCE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7531F7"/>
    <w:multiLevelType w:val="hybridMultilevel"/>
    <w:tmpl w:val="40DA5686"/>
    <w:lvl w:ilvl="0" w:tplc="8EE8C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880DE2"/>
    <w:multiLevelType w:val="multilevel"/>
    <w:tmpl w:val="58E6F87E"/>
    <w:numStyleLink w:val="PolicyList"/>
  </w:abstractNum>
  <w:abstractNum w:abstractNumId="23"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2532F"/>
    <w:multiLevelType w:val="multilevel"/>
    <w:tmpl w:val="EF040F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ascii="Franklin Gothic Book" w:eastAsiaTheme="minorHAnsi" w:hAnsi="Franklin Gothic Book" w:cstheme="minorBid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ascii="Franklin Gothic Book" w:eastAsiaTheme="minorHAnsi" w:hAnsi="Franklin Gothic Book" w:cstheme="minorBidi"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46991CE5"/>
    <w:multiLevelType w:val="hybridMultilevel"/>
    <w:tmpl w:val="2B7EC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F392E"/>
    <w:multiLevelType w:val="multilevel"/>
    <w:tmpl w:val="97E0EA9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ascii="Franklin Gothic Book" w:eastAsiaTheme="minorHAnsi" w:hAnsi="Franklin Gothic Book" w:cstheme="minorBidi"/>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49562A05"/>
    <w:multiLevelType w:val="hybridMultilevel"/>
    <w:tmpl w:val="A2B6B6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30" w15:restartNumberingAfterBreak="0">
    <w:nsid w:val="503004B7"/>
    <w:multiLevelType w:val="hybridMultilevel"/>
    <w:tmpl w:val="7D405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62B50"/>
    <w:multiLevelType w:val="hybridMultilevel"/>
    <w:tmpl w:val="7BB4243E"/>
    <w:lvl w:ilvl="0" w:tplc="8174A1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781E27"/>
    <w:multiLevelType w:val="multilevel"/>
    <w:tmpl w:val="584837F6"/>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rPr>
        <w:rFonts w:ascii="Franklin Gothic Book" w:eastAsiaTheme="minorHAnsi" w:hAnsi="Franklin Gothic Book" w:cstheme="minorBidi"/>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ascii="Franklin Gothic Book" w:eastAsiaTheme="minorHAnsi" w:hAnsi="Franklin Gothic Book" w:cstheme="minorBidi"/>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14273A7"/>
    <w:multiLevelType w:val="hybridMultilevel"/>
    <w:tmpl w:val="65CE1E40"/>
    <w:lvl w:ilvl="0" w:tplc="2AC65D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D8D4E5B4">
      <w:start w:val="1"/>
      <w:numFmt w:val="decimal"/>
      <w:lvlText w:val="%7."/>
      <w:lvlJc w:val="left"/>
      <w:pPr>
        <w:ind w:left="5040" w:hanging="360"/>
      </w:pPr>
      <w:rPr>
        <w:rFonts w:ascii="Franklin Gothic Book" w:eastAsiaTheme="minorHAnsi" w:hAnsi="Franklin Gothic Book" w:cstheme="minorBid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04236"/>
    <w:multiLevelType w:val="hybridMultilevel"/>
    <w:tmpl w:val="9CC6E698"/>
    <w:lvl w:ilvl="0" w:tplc="D54AF62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258AE"/>
    <w:multiLevelType w:val="multilevel"/>
    <w:tmpl w:val="17C40958"/>
    <w:lvl w:ilvl="0">
      <w:start w:val="1"/>
      <w:numFmt w:val="decimal"/>
      <w:lvlText w:val="(%1)"/>
      <w:lvlJc w:val="left"/>
      <w:pPr>
        <w:ind w:left="720" w:hanging="360"/>
      </w:pPr>
      <w:rPr>
        <w:rFonts w:ascii="Franklin Gothic Book" w:eastAsiaTheme="minorHAnsi" w:hAnsi="Franklin Gothic Book" w:cstheme="minorBidi"/>
      </w:rPr>
    </w:lvl>
    <w:lvl w:ilvl="1">
      <w:start w:val="1"/>
      <w:numFmt w:val="decimal"/>
      <w:lvlText w:val="(%2)"/>
      <w:lvlJc w:val="left"/>
      <w:pPr>
        <w:ind w:left="1080" w:hanging="360"/>
      </w:pPr>
      <w:rPr>
        <w:rFonts w:ascii="Franklin Gothic Book" w:eastAsiaTheme="minorHAnsi" w:hAnsi="Franklin Gothic Book" w:cstheme="minorBidi"/>
      </w:rPr>
    </w:lvl>
    <w:lvl w:ilvl="2">
      <w:start w:val="1"/>
      <w:numFmt w:val="decimal"/>
      <w:lvlText w:val="(%3)"/>
      <w:lvlJc w:val="left"/>
      <w:pPr>
        <w:ind w:left="1440" w:hanging="360"/>
      </w:pPr>
      <w:rPr>
        <w:rFonts w:ascii="Franklin Gothic Book" w:eastAsiaTheme="minorHAnsi" w:hAnsi="Franklin Gothic Book" w:cstheme="minorBidi"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ascii="Franklin Gothic Book" w:eastAsiaTheme="minorHAnsi" w:hAnsi="Franklin Gothic Book" w:cstheme="minorBidi"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657A34A3"/>
    <w:multiLevelType w:val="hybridMultilevel"/>
    <w:tmpl w:val="0DE67D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40" w15:restartNumberingAfterBreak="0">
    <w:nsid w:val="70FE1BC0"/>
    <w:multiLevelType w:val="hybridMultilevel"/>
    <w:tmpl w:val="5832E174"/>
    <w:lvl w:ilvl="0" w:tplc="253CB6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14471"/>
    <w:multiLevelType w:val="hybridMultilevel"/>
    <w:tmpl w:val="304C3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0602A"/>
    <w:multiLevelType w:val="hybridMultilevel"/>
    <w:tmpl w:val="354E5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B7189"/>
    <w:multiLevelType w:val="multilevel"/>
    <w:tmpl w:val="151AD474"/>
    <w:lvl w:ilvl="0">
      <w:start w:val="1"/>
      <w:numFmt w:val="upperLetter"/>
      <w:lvlText w:val="%1."/>
      <w:lvlJc w:val="left"/>
      <w:pPr>
        <w:ind w:left="360" w:hanging="360"/>
      </w:pPr>
      <w:rPr>
        <w:b/>
        <w:bCs/>
      </w:rPr>
    </w:lvl>
    <w:lvl w:ilvl="1">
      <w:start w:val="1"/>
      <w:numFmt w:val="lowerLetter"/>
      <w:lvlText w:val="%2)"/>
      <w:lvlJc w:val="left"/>
      <w:pPr>
        <w:ind w:left="720" w:hanging="360"/>
      </w:pPr>
    </w:lvl>
    <w:lvl w:ilvl="2">
      <w:start w:val="1"/>
      <w:numFmt w:val="decimal"/>
      <w:lvlText w:val="(%3)"/>
      <w:lvlJc w:val="left"/>
      <w:pPr>
        <w:ind w:left="1080" w:hanging="360"/>
      </w:pPr>
      <w:rPr>
        <w:rFonts w:ascii="Franklin Gothic Book" w:eastAsiaTheme="minorHAnsi" w:hAnsi="Franklin Gothic Book"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984126"/>
    <w:multiLevelType w:val="hybridMultilevel"/>
    <w:tmpl w:val="6C7AE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9"/>
  </w:num>
  <w:num w:numId="3">
    <w:abstractNumId w:val="5"/>
  </w:num>
  <w:num w:numId="4">
    <w:abstractNumId w:val="4"/>
  </w:num>
  <w:num w:numId="5">
    <w:abstractNumId w:val="3"/>
  </w:num>
  <w:num w:numId="6">
    <w:abstractNumId w:val="2"/>
  </w:num>
  <w:num w:numId="7">
    <w:abstractNumId w:val="1"/>
  </w:num>
  <w:num w:numId="8">
    <w:abstractNumId w:val="0"/>
  </w:num>
  <w:num w:numId="9">
    <w:abstractNumId w:val="17"/>
  </w:num>
  <w:num w:numId="10">
    <w:abstractNumId w:val="36"/>
  </w:num>
  <w:num w:numId="11">
    <w:abstractNumId w:val="43"/>
  </w:num>
  <w:num w:numId="12">
    <w:abstractNumId w:val="32"/>
  </w:num>
  <w:num w:numId="13">
    <w:abstractNumId w:val="38"/>
  </w:num>
  <w:num w:numId="14">
    <w:abstractNumId w:val="22"/>
  </w:num>
  <w:num w:numId="15">
    <w:abstractNumId w:val="23"/>
  </w:num>
  <w:num w:numId="16">
    <w:abstractNumId w:val="9"/>
  </w:num>
  <w:num w:numId="17">
    <w:abstractNumId w:val="28"/>
  </w:num>
  <w:num w:numId="18">
    <w:abstractNumId w:val="30"/>
  </w:num>
  <w:num w:numId="19">
    <w:abstractNumId w:val="27"/>
  </w:num>
  <w:num w:numId="20">
    <w:abstractNumId w:val="44"/>
  </w:num>
  <w:num w:numId="21">
    <w:abstractNumId w:val="6"/>
  </w:num>
  <w:num w:numId="22">
    <w:abstractNumId w:val="37"/>
  </w:num>
  <w:num w:numId="23">
    <w:abstractNumId w:val="40"/>
  </w:num>
  <w:num w:numId="24">
    <w:abstractNumId w:val="14"/>
  </w:num>
  <w:num w:numId="25">
    <w:abstractNumId w:val="12"/>
  </w:num>
  <w:num w:numId="26">
    <w:abstractNumId w:val="10"/>
  </w:num>
  <w:num w:numId="27">
    <w:abstractNumId w:val="13"/>
  </w:num>
  <w:num w:numId="28">
    <w:abstractNumId w:val="35"/>
  </w:num>
  <w:num w:numId="29">
    <w:abstractNumId w:val="19"/>
  </w:num>
  <w:num w:numId="30">
    <w:abstractNumId w:val="20"/>
  </w:num>
  <w:num w:numId="31">
    <w:abstractNumId w:val="34"/>
  </w:num>
  <w:num w:numId="32">
    <w:abstractNumId w:val="16"/>
  </w:num>
  <w:num w:numId="33">
    <w:abstractNumId w:val="26"/>
  </w:num>
  <w:num w:numId="34">
    <w:abstractNumId w:val="7"/>
  </w:num>
  <w:num w:numId="35">
    <w:abstractNumId w:val="25"/>
  </w:num>
  <w:num w:numId="36">
    <w:abstractNumId w:val="41"/>
  </w:num>
  <w:num w:numId="37">
    <w:abstractNumId w:val="42"/>
  </w:num>
  <w:num w:numId="38">
    <w:abstractNumId w:val="21"/>
  </w:num>
  <w:num w:numId="39">
    <w:abstractNumId w:val="15"/>
  </w:num>
  <w:num w:numId="40">
    <w:abstractNumId w:val="31"/>
  </w:num>
  <w:num w:numId="41">
    <w:abstractNumId w:val="8"/>
  </w:num>
  <w:num w:numId="42">
    <w:abstractNumId w:val="11"/>
  </w:num>
  <w:num w:numId="43">
    <w:abstractNumId w:val="33"/>
  </w:num>
  <w:num w:numId="44">
    <w:abstractNumId w:val="24"/>
  </w:num>
  <w:num w:numId="4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03BE8"/>
    <w:rsid w:val="00022B82"/>
    <w:rsid w:val="00025E4E"/>
    <w:rsid w:val="00026CEA"/>
    <w:rsid w:val="00027382"/>
    <w:rsid w:val="0004541B"/>
    <w:rsid w:val="00070A04"/>
    <w:rsid w:val="00070FC8"/>
    <w:rsid w:val="00082EE2"/>
    <w:rsid w:val="00090CCC"/>
    <w:rsid w:val="00097A60"/>
    <w:rsid w:val="000A1E3C"/>
    <w:rsid w:val="000A3092"/>
    <w:rsid w:val="000D1873"/>
    <w:rsid w:val="000D3BC7"/>
    <w:rsid w:val="000D63E3"/>
    <w:rsid w:val="000E5A87"/>
    <w:rsid w:val="000E5EAD"/>
    <w:rsid w:val="000F0586"/>
    <w:rsid w:val="000F4A20"/>
    <w:rsid w:val="00106996"/>
    <w:rsid w:val="001126AA"/>
    <w:rsid w:val="00113C50"/>
    <w:rsid w:val="00121F48"/>
    <w:rsid w:val="00122B36"/>
    <w:rsid w:val="00152EFC"/>
    <w:rsid w:val="00171F93"/>
    <w:rsid w:val="00184273"/>
    <w:rsid w:val="0018485A"/>
    <w:rsid w:val="001933A4"/>
    <w:rsid w:val="001A08C2"/>
    <w:rsid w:val="001A20BB"/>
    <w:rsid w:val="001A6448"/>
    <w:rsid w:val="001C35CC"/>
    <w:rsid w:val="001C6270"/>
    <w:rsid w:val="001D14BC"/>
    <w:rsid w:val="001D682B"/>
    <w:rsid w:val="001E33E6"/>
    <w:rsid w:val="001F146C"/>
    <w:rsid w:val="001F20E4"/>
    <w:rsid w:val="001F5784"/>
    <w:rsid w:val="002003C5"/>
    <w:rsid w:val="00200B7C"/>
    <w:rsid w:val="00200D4D"/>
    <w:rsid w:val="002017E7"/>
    <w:rsid w:val="00217CE9"/>
    <w:rsid w:val="00220220"/>
    <w:rsid w:val="00256244"/>
    <w:rsid w:val="002671FD"/>
    <w:rsid w:val="0027370E"/>
    <w:rsid w:val="002850DC"/>
    <w:rsid w:val="002915E0"/>
    <w:rsid w:val="002B1C1D"/>
    <w:rsid w:val="002E04DD"/>
    <w:rsid w:val="002F78ED"/>
    <w:rsid w:val="003076AD"/>
    <w:rsid w:val="00307822"/>
    <w:rsid w:val="00311862"/>
    <w:rsid w:val="00322009"/>
    <w:rsid w:val="0032251B"/>
    <w:rsid w:val="00334DFD"/>
    <w:rsid w:val="00334EA1"/>
    <w:rsid w:val="00340C6E"/>
    <w:rsid w:val="00355C1D"/>
    <w:rsid w:val="0036205E"/>
    <w:rsid w:val="0037675D"/>
    <w:rsid w:val="00382BBF"/>
    <w:rsid w:val="00383F81"/>
    <w:rsid w:val="003853BE"/>
    <w:rsid w:val="00390203"/>
    <w:rsid w:val="003959F2"/>
    <w:rsid w:val="00396789"/>
    <w:rsid w:val="003A6E58"/>
    <w:rsid w:val="003C2CE1"/>
    <w:rsid w:val="003D0B28"/>
    <w:rsid w:val="003D5960"/>
    <w:rsid w:val="003D723C"/>
    <w:rsid w:val="003E78CD"/>
    <w:rsid w:val="003F229D"/>
    <w:rsid w:val="00404E2F"/>
    <w:rsid w:val="004157DC"/>
    <w:rsid w:val="00444D16"/>
    <w:rsid w:val="00454893"/>
    <w:rsid w:val="00472CC3"/>
    <w:rsid w:val="004761E0"/>
    <w:rsid w:val="00485ED0"/>
    <w:rsid w:val="004877F3"/>
    <w:rsid w:val="00497E1E"/>
    <w:rsid w:val="004A3725"/>
    <w:rsid w:val="004A3856"/>
    <w:rsid w:val="004A586E"/>
    <w:rsid w:val="004A777D"/>
    <w:rsid w:val="004A79CD"/>
    <w:rsid w:val="004B75E2"/>
    <w:rsid w:val="004C2984"/>
    <w:rsid w:val="004C747C"/>
    <w:rsid w:val="004E33B5"/>
    <w:rsid w:val="004E766E"/>
    <w:rsid w:val="005061A7"/>
    <w:rsid w:val="00523947"/>
    <w:rsid w:val="00531CA5"/>
    <w:rsid w:val="00542BBB"/>
    <w:rsid w:val="00543296"/>
    <w:rsid w:val="00550F23"/>
    <w:rsid w:val="0056415A"/>
    <w:rsid w:val="0059376F"/>
    <w:rsid w:val="005A1313"/>
    <w:rsid w:val="005A754A"/>
    <w:rsid w:val="005C41FE"/>
    <w:rsid w:val="005C5C21"/>
    <w:rsid w:val="005C7B76"/>
    <w:rsid w:val="005D467D"/>
    <w:rsid w:val="005D576B"/>
    <w:rsid w:val="005E087B"/>
    <w:rsid w:val="006202DD"/>
    <w:rsid w:val="00620C10"/>
    <w:rsid w:val="006310BF"/>
    <w:rsid w:val="006417F4"/>
    <w:rsid w:val="00643B47"/>
    <w:rsid w:val="00643C4C"/>
    <w:rsid w:val="0064602A"/>
    <w:rsid w:val="00660DFA"/>
    <w:rsid w:val="0066230F"/>
    <w:rsid w:val="006647E7"/>
    <w:rsid w:val="00677F3C"/>
    <w:rsid w:val="006800DC"/>
    <w:rsid w:val="00690660"/>
    <w:rsid w:val="006A05B5"/>
    <w:rsid w:val="006B2108"/>
    <w:rsid w:val="006B3F6A"/>
    <w:rsid w:val="006C4BCE"/>
    <w:rsid w:val="006C668C"/>
    <w:rsid w:val="006C7010"/>
    <w:rsid w:val="006C7DEE"/>
    <w:rsid w:val="006E05A6"/>
    <w:rsid w:val="006F31EB"/>
    <w:rsid w:val="006F4A2A"/>
    <w:rsid w:val="006F4B06"/>
    <w:rsid w:val="0070105A"/>
    <w:rsid w:val="007154E1"/>
    <w:rsid w:val="00725564"/>
    <w:rsid w:val="00733637"/>
    <w:rsid w:val="00756A61"/>
    <w:rsid w:val="00757698"/>
    <w:rsid w:val="007609E8"/>
    <w:rsid w:val="007738D2"/>
    <w:rsid w:val="00776F82"/>
    <w:rsid w:val="00786C3D"/>
    <w:rsid w:val="007965E8"/>
    <w:rsid w:val="007A04D9"/>
    <w:rsid w:val="007A21DE"/>
    <w:rsid w:val="007A5B24"/>
    <w:rsid w:val="007B5CDA"/>
    <w:rsid w:val="007C321E"/>
    <w:rsid w:val="007C3265"/>
    <w:rsid w:val="007C6B53"/>
    <w:rsid w:val="007D4D8A"/>
    <w:rsid w:val="007D69D1"/>
    <w:rsid w:val="007D7944"/>
    <w:rsid w:val="007E3695"/>
    <w:rsid w:val="007F6CFE"/>
    <w:rsid w:val="007F70A4"/>
    <w:rsid w:val="00802CE4"/>
    <w:rsid w:val="008173C0"/>
    <w:rsid w:val="00831675"/>
    <w:rsid w:val="00835F24"/>
    <w:rsid w:val="008474D9"/>
    <w:rsid w:val="00854747"/>
    <w:rsid w:val="00867EEB"/>
    <w:rsid w:val="00882762"/>
    <w:rsid w:val="00891F03"/>
    <w:rsid w:val="008955C3"/>
    <w:rsid w:val="008A34F5"/>
    <w:rsid w:val="008A481F"/>
    <w:rsid w:val="008C52B4"/>
    <w:rsid w:val="008D124B"/>
    <w:rsid w:val="008D4379"/>
    <w:rsid w:val="008D67E8"/>
    <w:rsid w:val="008D6AD9"/>
    <w:rsid w:val="008E6CAF"/>
    <w:rsid w:val="008F4422"/>
    <w:rsid w:val="008F4D6B"/>
    <w:rsid w:val="00911281"/>
    <w:rsid w:val="00915CA6"/>
    <w:rsid w:val="00916D2A"/>
    <w:rsid w:val="00917941"/>
    <w:rsid w:val="00923F84"/>
    <w:rsid w:val="00934A08"/>
    <w:rsid w:val="009519FB"/>
    <w:rsid w:val="0095503A"/>
    <w:rsid w:val="00955689"/>
    <w:rsid w:val="00984B15"/>
    <w:rsid w:val="00987ABF"/>
    <w:rsid w:val="00995595"/>
    <w:rsid w:val="009B0986"/>
    <w:rsid w:val="009D2F48"/>
    <w:rsid w:val="009D536C"/>
    <w:rsid w:val="00A01FF8"/>
    <w:rsid w:val="00A1580A"/>
    <w:rsid w:val="00A32ABB"/>
    <w:rsid w:val="00A32CE4"/>
    <w:rsid w:val="00A34A37"/>
    <w:rsid w:val="00A36337"/>
    <w:rsid w:val="00A4297C"/>
    <w:rsid w:val="00A44236"/>
    <w:rsid w:val="00A62B1D"/>
    <w:rsid w:val="00A65035"/>
    <w:rsid w:val="00A67426"/>
    <w:rsid w:val="00A86178"/>
    <w:rsid w:val="00AA54D2"/>
    <w:rsid w:val="00AA74B7"/>
    <w:rsid w:val="00AD204A"/>
    <w:rsid w:val="00AE7680"/>
    <w:rsid w:val="00B02A60"/>
    <w:rsid w:val="00B04D4C"/>
    <w:rsid w:val="00B07D50"/>
    <w:rsid w:val="00B20CDA"/>
    <w:rsid w:val="00B26067"/>
    <w:rsid w:val="00B30C70"/>
    <w:rsid w:val="00B326E1"/>
    <w:rsid w:val="00B51917"/>
    <w:rsid w:val="00B63D63"/>
    <w:rsid w:val="00B726A5"/>
    <w:rsid w:val="00B73DB4"/>
    <w:rsid w:val="00B80D74"/>
    <w:rsid w:val="00B8419A"/>
    <w:rsid w:val="00B847F0"/>
    <w:rsid w:val="00B85871"/>
    <w:rsid w:val="00B86EE0"/>
    <w:rsid w:val="00BA0AC3"/>
    <w:rsid w:val="00BA3500"/>
    <w:rsid w:val="00BA5FCC"/>
    <w:rsid w:val="00BB0124"/>
    <w:rsid w:val="00BC5122"/>
    <w:rsid w:val="00BE1D28"/>
    <w:rsid w:val="00BE3882"/>
    <w:rsid w:val="00BE3CB1"/>
    <w:rsid w:val="00BF5AFE"/>
    <w:rsid w:val="00C03088"/>
    <w:rsid w:val="00C12B45"/>
    <w:rsid w:val="00C26C69"/>
    <w:rsid w:val="00C26D00"/>
    <w:rsid w:val="00C431F4"/>
    <w:rsid w:val="00C638D7"/>
    <w:rsid w:val="00C66FD6"/>
    <w:rsid w:val="00C67F83"/>
    <w:rsid w:val="00C87F89"/>
    <w:rsid w:val="00C95C43"/>
    <w:rsid w:val="00CB0218"/>
    <w:rsid w:val="00CB1695"/>
    <w:rsid w:val="00CB58A9"/>
    <w:rsid w:val="00CC15E6"/>
    <w:rsid w:val="00CC6127"/>
    <w:rsid w:val="00CE2A80"/>
    <w:rsid w:val="00CE34DD"/>
    <w:rsid w:val="00CF635B"/>
    <w:rsid w:val="00D155D2"/>
    <w:rsid w:val="00D4380D"/>
    <w:rsid w:val="00D468DC"/>
    <w:rsid w:val="00D85D92"/>
    <w:rsid w:val="00D90577"/>
    <w:rsid w:val="00D9591F"/>
    <w:rsid w:val="00DA5C8E"/>
    <w:rsid w:val="00DC3C35"/>
    <w:rsid w:val="00DC5C4B"/>
    <w:rsid w:val="00DD0542"/>
    <w:rsid w:val="00DE4A95"/>
    <w:rsid w:val="00DE5CA6"/>
    <w:rsid w:val="00DF3B50"/>
    <w:rsid w:val="00E0349E"/>
    <w:rsid w:val="00E05D7F"/>
    <w:rsid w:val="00E10D38"/>
    <w:rsid w:val="00E1247A"/>
    <w:rsid w:val="00E17BCD"/>
    <w:rsid w:val="00E20101"/>
    <w:rsid w:val="00E2572C"/>
    <w:rsid w:val="00E308A0"/>
    <w:rsid w:val="00E44E05"/>
    <w:rsid w:val="00E61D7C"/>
    <w:rsid w:val="00E6500D"/>
    <w:rsid w:val="00E66FFC"/>
    <w:rsid w:val="00E841C3"/>
    <w:rsid w:val="00E92F91"/>
    <w:rsid w:val="00E93B04"/>
    <w:rsid w:val="00EB1570"/>
    <w:rsid w:val="00EB2056"/>
    <w:rsid w:val="00EB2145"/>
    <w:rsid w:val="00EB3F9F"/>
    <w:rsid w:val="00EB679D"/>
    <w:rsid w:val="00EC64AA"/>
    <w:rsid w:val="00ED22DF"/>
    <w:rsid w:val="00EE4DF7"/>
    <w:rsid w:val="00EE6E8A"/>
    <w:rsid w:val="00EF2A73"/>
    <w:rsid w:val="00F005D8"/>
    <w:rsid w:val="00F03DA5"/>
    <w:rsid w:val="00F041B5"/>
    <w:rsid w:val="00F072DF"/>
    <w:rsid w:val="00F24F2D"/>
    <w:rsid w:val="00F313BE"/>
    <w:rsid w:val="00F36245"/>
    <w:rsid w:val="00F6553C"/>
    <w:rsid w:val="00F70DA8"/>
    <w:rsid w:val="00F7266F"/>
    <w:rsid w:val="00F733E6"/>
    <w:rsid w:val="00F861E5"/>
    <w:rsid w:val="00F907EB"/>
    <w:rsid w:val="00F91989"/>
    <w:rsid w:val="00FA1FE7"/>
    <w:rsid w:val="00FB35C7"/>
    <w:rsid w:val="00FC6667"/>
    <w:rsid w:val="00FE0D76"/>
    <w:rsid w:val="00FE5A41"/>
    <w:rsid w:val="00FE5F72"/>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F344-58AE-4AA1-95A5-CB590064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Hoellerich, Melissa</cp:lastModifiedBy>
  <cp:revision>20</cp:revision>
  <cp:lastPrinted>2021-02-05T15:58:00Z</cp:lastPrinted>
  <dcterms:created xsi:type="dcterms:W3CDTF">2020-06-29T15:24:00Z</dcterms:created>
  <dcterms:modified xsi:type="dcterms:W3CDTF">2021-02-09T16:43:00Z</dcterms:modified>
</cp:coreProperties>
</file>