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C75E" w14:textId="0D9EB4D3" w:rsidR="00E66FFC" w:rsidRDefault="00CB58A9" w:rsidP="00070FC8">
      <w:pPr>
        <w:pStyle w:val="Title"/>
      </w:pPr>
      <w:bookmarkStart w:id="0" w:name="ChapterNumber"/>
      <w:r w:rsidRPr="00217CE9">
        <w:t>Chapter</w:t>
      </w:r>
      <w:r w:rsidR="005B619C">
        <w:t xml:space="preserve"> 8</w:t>
      </w:r>
      <w:r w:rsidR="008A481F">
        <w:t>:</w:t>
      </w:r>
      <w:bookmarkEnd w:id="0"/>
      <w:r w:rsidR="005B619C">
        <w:t xml:space="preserve"> </w:t>
      </w:r>
    </w:p>
    <w:p w14:paraId="0BD51514" w14:textId="33C2DA24" w:rsidR="00CB58A9" w:rsidRDefault="005B619C" w:rsidP="00217CE9">
      <w:pPr>
        <w:pStyle w:val="Title"/>
      </w:pPr>
      <w:r>
        <w:t>Transportation</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1D1D83F2" w14:textId="4485BCE7" w:rsidR="00CC6127" w:rsidRDefault="00EE6E8A" w:rsidP="00A9393E">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r w:rsidRPr="00CB1695">
        <w:t>Revision</w:t>
      </w:r>
      <w:r w:rsidRPr="00EE6E8A">
        <w:t xml:space="preserve"> Date</w:t>
      </w:r>
      <w:r>
        <w:t>:</w:t>
      </w:r>
      <w:r w:rsidR="00A34A37">
        <w:t xml:space="preserve">  </w:t>
      </w:r>
      <w:r w:rsidR="00A9393E">
        <w:t xml:space="preserve">  July 2020</w:t>
      </w: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77777777" w:rsidR="007D7944" w:rsidRDefault="007D7944">
          <w:pPr>
            <w:pStyle w:val="TOCHeading"/>
          </w:pPr>
          <w:r>
            <w:t>Contents</w:t>
          </w:r>
        </w:p>
        <w:p w14:paraId="1B84D4E7" w14:textId="5D85C7D8" w:rsidR="00DE55DC"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45189691" w:history="1">
            <w:r w:rsidR="00DE55DC" w:rsidRPr="00EC3575">
              <w:rPr>
                <w:rStyle w:val="Hyperlink"/>
              </w:rPr>
              <w:t>Section I.</w:t>
            </w:r>
            <w:r w:rsidR="00DE55DC">
              <w:rPr>
                <w:rFonts w:asciiTheme="minorHAnsi" w:hAnsiTheme="minorHAnsi"/>
                <w:sz w:val="22"/>
                <w:szCs w:val="22"/>
                <w:lang w:eastAsia="en-US"/>
              </w:rPr>
              <w:tab/>
            </w:r>
            <w:r w:rsidR="00DE55DC" w:rsidRPr="00EC3575">
              <w:rPr>
                <w:rStyle w:val="Hyperlink"/>
              </w:rPr>
              <w:t>Definitions</w:t>
            </w:r>
            <w:r w:rsidR="00DE55DC">
              <w:rPr>
                <w:webHidden/>
              </w:rPr>
              <w:tab/>
            </w:r>
            <w:r w:rsidR="00DE55DC">
              <w:rPr>
                <w:webHidden/>
              </w:rPr>
              <w:fldChar w:fldCharType="begin"/>
            </w:r>
            <w:r w:rsidR="00DE55DC">
              <w:rPr>
                <w:webHidden/>
              </w:rPr>
              <w:instrText xml:space="preserve"> PAGEREF _Toc45189691 \h </w:instrText>
            </w:r>
            <w:r w:rsidR="00DE55DC">
              <w:rPr>
                <w:webHidden/>
              </w:rPr>
            </w:r>
            <w:r w:rsidR="00DE55DC">
              <w:rPr>
                <w:webHidden/>
              </w:rPr>
              <w:fldChar w:fldCharType="separate"/>
            </w:r>
            <w:r w:rsidR="00DE55DC">
              <w:rPr>
                <w:webHidden/>
              </w:rPr>
              <w:t>2</w:t>
            </w:r>
            <w:r w:rsidR="00DE55DC">
              <w:rPr>
                <w:webHidden/>
              </w:rPr>
              <w:fldChar w:fldCharType="end"/>
            </w:r>
          </w:hyperlink>
        </w:p>
        <w:p w14:paraId="51E85638" w14:textId="41014C23" w:rsidR="00DE55DC" w:rsidRDefault="00E23175">
          <w:pPr>
            <w:pStyle w:val="TOC1"/>
            <w:rPr>
              <w:rFonts w:asciiTheme="minorHAnsi" w:hAnsiTheme="minorHAnsi"/>
              <w:sz w:val="22"/>
              <w:szCs w:val="22"/>
              <w:lang w:eastAsia="en-US"/>
            </w:rPr>
          </w:pPr>
          <w:hyperlink w:anchor="_Toc45189692" w:history="1">
            <w:r w:rsidR="00DE55DC" w:rsidRPr="00EC3575">
              <w:rPr>
                <w:rStyle w:val="Hyperlink"/>
              </w:rPr>
              <w:t>Section II.</w:t>
            </w:r>
            <w:r w:rsidR="00DE55DC">
              <w:rPr>
                <w:rFonts w:asciiTheme="minorHAnsi" w:hAnsiTheme="minorHAnsi"/>
                <w:sz w:val="22"/>
                <w:szCs w:val="22"/>
                <w:lang w:eastAsia="en-US"/>
              </w:rPr>
              <w:tab/>
            </w:r>
            <w:r w:rsidR="00DE55DC" w:rsidRPr="00EC3575">
              <w:rPr>
                <w:rStyle w:val="Hyperlink"/>
              </w:rPr>
              <w:t>General Policy</w:t>
            </w:r>
            <w:r w:rsidR="00DE55DC">
              <w:rPr>
                <w:webHidden/>
              </w:rPr>
              <w:tab/>
            </w:r>
            <w:r w:rsidR="00DE55DC">
              <w:rPr>
                <w:webHidden/>
              </w:rPr>
              <w:fldChar w:fldCharType="begin"/>
            </w:r>
            <w:r w:rsidR="00DE55DC">
              <w:rPr>
                <w:webHidden/>
              </w:rPr>
              <w:instrText xml:space="preserve"> PAGEREF _Toc45189692 \h </w:instrText>
            </w:r>
            <w:r w:rsidR="00DE55DC">
              <w:rPr>
                <w:webHidden/>
              </w:rPr>
            </w:r>
            <w:r w:rsidR="00DE55DC">
              <w:rPr>
                <w:webHidden/>
              </w:rPr>
              <w:fldChar w:fldCharType="separate"/>
            </w:r>
            <w:r w:rsidR="00DE55DC">
              <w:rPr>
                <w:webHidden/>
              </w:rPr>
              <w:t>2</w:t>
            </w:r>
            <w:r w:rsidR="00DE55DC">
              <w:rPr>
                <w:webHidden/>
              </w:rPr>
              <w:fldChar w:fldCharType="end"/>
            </w:r>
          </w:hyperlink>
        </w:p>
        <w:p w14:paraId="594073F0" w14:textId="67CA0058" w:rsidR="00DE55DC" w:rsidRDefault="00E23175">
          <w:pPr>
            <w:pStyle w:val="TOC1"/>
            <w:rPr>
              <w:rFonts w:asciiTheme="minorHAnsi" w:hAnsiTheme="minorHAnsi"/>
              <w:sz w:val="22"/>
              <w:szCs w:val="22"/>
              <w:lang w:eastAsia="en-US"/>
            </w:rPr>
          </w:pPr>
          <w:hyperlink w:anchor="_Toc45189693" w:history="1">
            <w:r w:rsidR="00DE55DC" w:rsidRPr="00EC3575">
              <w:rPr>
                <w:rStyle w:val="Hyperlink"/>
              </w:rPr>
              <w:t>Section III.</w:t>
            </w:r>
            <w:r w:rsidR="00DE55DC">
              <w:rPr>
                <w:rFonts w:asciiTheme="minorHAnsi" w:hAnsiTheme="minorHAnsi"/>
                <w:sz w:val="22"/>
                <w:szCs w:val="22"/>
                <w:lang w:eastAsia="en-US"/>
              </w:rPr>
              <w:tab/>
            </w:r>
            <w:r w:rsidR="00DE55DC" w:rsidRPr="00EC3575">
              <w:rPr>
                <w:rStyle w:val="Hyperlink"/>
              </w:rPr>
              <w:t>Spending and Related Guidelines</w:t>
            </w:r>
            <w:r w:rsidR="00DE55DC">
              <w:rPr>
                <w:webHidden/>
              </w:rPr>
              <w:tab/>
            </w:r>
            <w:r w:rsidR="00DE55DC">
              <w:rPr>
                <w:webHidden/>
              </w:rPr>
              <w:fldChar w:fldCharType="begin"/>
            </w:r>
            <w:r w:rsidR="00DE55DC">
              <w:rPr>
                <w:webHidden/>
              </w:rPr>
              <w:instrText xml:space="preserve"> PAGEREF _Toc45189693 \h </w:instrText>
            </w:r>
            <w:r w:rsidR="00DE55DC">
              <w:rPr>
                <w:webHidden/>
              </w:rPr>
            </w:r>
            <w:r w:rsidR="00DE55DC">
              <w:rPr>
                <w:webHidden/>
              </w:rPr>
              <w:fldChar w:fldCharType="separate"/>
            </w:r>
            <w:r w:rsidR="00DE55DC">
              <w:rPr>
                <w:webHidden/>
              </w:rPr>
              <w:t>2</w:t>
            </w:r>
            <w:r w:rsidR="00DE55DC">
              <w:rPr>
                <w:webHidden/>
              </w:rPr>
              <w:fldChar w:fldCharType="end"/>
            </w:r>
          </w:hyperlink>
        </w:p>
        <w:p w14:paraId="702917FA" w14:textId="18ACB6FA"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5189691"/>
      <w:r>
        <w:lastRenderedPageBreak/>
        <w:t>Section I.</w:t>
      </w:r>
      <w:r>
        <w:tab/>
        <w:t>Definitions</w:t>
      </w:r>
      <w:bookmarkEnd w:id="1"/>
    </w:p>
    <w:p w14:paraId="35CD9073" w14:textId="125B0D4E" w:rsidR="00A9393E" w:rsidRDefault="001A20BB" w:rsidP="00A9393E">
      <w:pPr>
        <w:pStyle w:val="BodyText"/>
        <w:numPr>
          <w:ilvl w:val="1"/>
          <w:numId w:val="14"/>
        </w:numPr>
      </w:pPr>
      <w:r w:rsidRPr="00AF2144">
        <w:rPr>
          <w:rStyle w:val="Emphasis"/>
        </w:rPr>
        <w:t>"</w:t>
      </w:r>
      <w:r w:rsidR="00A9393E">
        <w:rPr>
          <w:rStyle w:val="Emphasis"/>
        </w:rPr>
        <w:t>Transportation</w:t>
      </w:r>
      <w:r w:rsidRPr="00AF2144">
        <w:rPr>
          <w:rStyle w:val="Emphasis"/>
        </w:rPr>
        <w:t>"</w:t>
      </w:r>
      <w:r w:rsidRPr="00A67EE8">
        <w:t xml:space="preserve"> means </w:t>
      </w:r>
      <w:r w:rsidR="00A9393E">
        <w:t>travel and related expenses necessary to enable an applicant or eligible individual to participate in the vocational rehabilitation process.  Transportation services may include, but are not limited to, public and private transportation, travel reimbursement, vehicle rental and other costs such as insurance and registration.</w:t>
      </w:r>
    </w:p>
    <w:p w14:paraId="09B61A65" w14:textId="67392303" w:rsidR="00090CCC" w:rsidRDefault="00882762" w:rsidP="00F36245">
      <w:pPr>
        <w:pStyle w:val="Heading1"/>
        <w:numPr>
          <w:ilvl w:val="0"/>
          <w:numId w:val="0"/>
        </w:numPr>
      </w:pPr>
      <w:bookmarkStart w:id="2" w:name="_Toc45189692"/>
      <w:r>
        <w:t>Section II.</w:t>
      </w:r>
      <w:r>
        <w:tab/>
        <w:t>General Policy</w:t>
      </w:r>
      <w:bookmarkEnd w:id="2"/>
    </w:p>
    <w:p w14:paraId="2A1F43AC" w14:textId="658B3B48" w:rsidR="00E44E05" w:rsidRDefault="00E44E05" w:rsidP="00E44E05">
      <w:pPr>
        <w:pStyle w:val="BodyText"/>
        <w:ind w:left="360" w:hanging="360"/>
      </w:pPr>
      <w:r>
        <w:t>A</w:t>
      </w:r>
      <w:r>
        <w:tab/>
      </w:r>
      <w:r w:rsidR="00F3763A">
        <w:t>Transportation services may be provided to enable individuals to participate in the application process, in the evaluation of rehabilitation potential, and to accomplish specific objectives of the IPE</w:t>
      </w:r>
      <w:r w:rsidR="00E23175">
        <w:t xml:space="preserve"> including post-employment services</w:t>
      </w:r>
      <w:r w:rsidR="00F3763A">
        <w:t>.  They must be supportive of other services and will be provided only when comparable services and benefits are not available or must be supplemented.  The least expensive method will always be chosen unless contraindicated by the disability or time constraints.</w:t>
      </w:r>
    </w:p>
    <w:p w14:paraId="551D6E8E" w14:textId="631D14A0" w:rsidR="008F6C12" w:rsidRDefault="008F6C12" w:rsidP="00E44E05">
      <w:pPr>
        <w:pStyle w:val="BodyText"/>
        <w:ind w:left="360" w:hanging="360"/>
      </w:pPr>
      <w:r>
        <w:tab/>
        <w:t>Transportation services may include:</w:t>
      </w:r>
    </w:p>
    <w:p w14:paraId="59FDF1C8" w14:textId="6914860B" w:rsidR="00F3763A" w:rsidRDefault="008F6C12" w:rsidP="008F6C12">
      <w:pPr>
        <w:pStyle w:val="BodyText"/>
        <w:numPr>
          <w:ilvl w:val="0"/>
          <w:numId w:val="18"/>
        </w:numPr>
      </w:pPr>
      <w:r>
        <w:t>Mileage reimbursement for transportation needed to participate in the vocational rehabilitation process, including up to three months of support getting to and from work.  A driver’s time may also be reimbursed at the State’s minimum wage rate.</w:t>
      </w:r>
    </w:p>
    <w:p w14:paraId="536747D6" w14:textId="67613388" w:rsidR="008F6C12" w:rsidRDefault="008F6C12" w:rsidP="008F6C12">
      <w:pPr>
        <w:pStyle w:val="BodyText"/>
        <w:numPr>
          <w:ilvl w:val="0"/>
          <w:numId w:val="18"/>
        </w:numPr>
      </w:pPr>
      <w:r>
        <w:t xml:space="preserve">Public transportation (i.e. bus, train, carpooling) and private transportation (i.e. taxi, airplane, ride sharing service such as Uber) including training in the use of public and private transportation.  </w:t>
      </w:r>
    </w:p>
    <w:p w14:paraId="1702D62E" w14:textId="6C899E6D" w:rsidR="008F6C12" w:rsidRDefault="008F6C12" w:rsidP="008F6C12">
      <w:pPr>
        <w:pStyle w:val="BodyText"/>
        <w:numPr>
          <w:ilvl w:val="0"/>
          <w:numId w:val="18"/>
        </w:numPr>
      </w:pPr>
      <w:r>
        <w:t>Other expenses such as parking fees, tolls, and rental vehicles while traveling.</w:t>
      </w:r>
    </w:p>
    <w:p w14:paraId="52B97046" w14:textId="6FBDAA56" w:rsidR="00882762" w:rsidRDefault="00882762" w:rsidP="0070105A">
      <w:pPr>
        <w:pStyle w:val="Heading1"/>
        <w:numPr>
          <w:ilvl w:val="0"/>
          <w:numId w:val="0"/>
        </w:numPr>
      </w:pPr>
      <w:bookmarkStart w:id="3" w:name="_Toc45189693"/>
      <w:r>
        <w:t>Section III.</w:t>
      </w:r>
      <w:r>
        <w:tab/>
      </w:r>
      <w:r w:rsidR="008F6C12">
        <w:t>Spending and Related Guidelines</w:t>
      </w:r>
      <w:bookmarkEnd w:id="3"/>
    </w:p>
    <w:p w14:paraId="29E5A037" w14:textId="59901DEC" w:rsidR="008F6C12" w:rsidRDefault="008F6C12" w:rsidP="00E23175">
      <w:pPr>
        <w:pStyle w:val="ListParagraph"/>
        <w:numPr>
          <w:ilvl w:val="0"/>
          <w:numId w:val="21"/>
        </w:numPr>
      </w:pPr>
      <w:r>
        <w:t>Mileage reimbursement shall not exceed that established for State employees.</w:t>
      </w:r>
    </w:p>
    <w:p w14:paraId="08D8BCFB" w14:textId="77777777" w:rsidR="008F6C12" w:rsidRDefault="008F6C12" w:rsidP="008F6C12">
      <w:pPr>
        <w:pStyle w:val="ListParagraph"/>
      </w:pPr>
    </w:p>
    <w:p w14:paraId="6698033D" w14:textId="55BBC3EF" w:rsidR="008F6C12" w:rsidRDefault="008F6C12" w:rsidP="00E23175">
      <w:pPr>
        <w:pStyle w:val="ListParagraph"/>
        <w:numPr>
          <w:ilvl w:val="0"/>
          <w:numId w:val="21"/>
        </w:numPr>
      </w:pPr>
      <w:r>
        <w:t>DBVI may pay a drive</w:t>
      </w:r>
      <w:r w:rsidR="00C1512D">
        <w:t>r</w:t>
      </w:r>
      <w:r>
        <w:t xml:space="preserve"> at the State minimum wage.  Time and mileage may be calculated to/from the driver’s residence.</w:t>
      </w:r>
    </w:p>
    <w:p w14:paraId="57B5CCD0" w14:textId="77777777" w:rsidR="008F6C12" w:rsidRDefault="008F6C12" w:rsidP="008F6C12">
      <w:pPr>
        <w:pStyle w:val="ListParagraph"/>
      </w:pPr>
    </w:p>
    <w:p w14:paraId="7EE25F66" w14:textId="28ABB254" w:rsidR="008F6C12" w:rsidRDefault="00C1512D" w:rsidP="00E23175">
      <w:pPr>
        <w:pStyle w:val="ListParagraph"/>
        <w:numPr>
          <w:ilvl w:val="0"/>
          <w:numId w:val="21"/>
        </w:numPr>
      </w:pPr>
      <w:r>
        <w:t>Private</w:t>
      </w:r>
      <w:r w:rsidR="008F6C12">
        <w:t xml:space="preserve"> means of transportation such as by air or taxi may be provided at the customary rates if justified in the case record as being the best alternative to meet the individual’s needs.</w:t>
      </w:r>
    </w:p>
    <w:p w14:paraId="0551CE53" w14:textId="77777777" w:rsidR="001E03E3" w:rsidRDefault="001E03E3" w:rsidP="001E03E3">
      <w:pPr>
        <w:pStyle w:val="ListParagraph"/>
      </w:pPr>
    </w:p>
    <w:p w14:paraId="1B28A6AD" w14:textId="2E64F236" w:rsidR="008F6C12" w:rsidRDefault="008F6C12" w:rsidP="00E23175">
      <w:pPr>
        <w:pStyle w:val="ListParagraph"/>
        <w:numPr>
          <w:ilvl w:val="0"/>
          <w:numId w:val="21"/>
        </w:numPr>
      </w:pPr>
      <w:r>
        <w:t>Additional expenses – meals for the individual and a driver may be reimbursed at rates not to exceed those established for State employees.  If lodging is needed, see Chapter 7, Maintenance, for the spending guidelines.</w:t>
      </w:r>
    </w:p>
    <w:p w14:paraId="0E4C761D" w14:textId="77777777" w:rsidR="001E03E3" w:rsidRDefault="001E03E3" w:rsidP="001E03E3">
      <w:pPr>
        <w:pStyle w:val="ListParagraph"/>
      </w:pPr>
    </w:p>
    <w:p w14:paraId="71ACD3F6" w14:textId="2D24C7AF" w:rsidR="001E03E3" w:rsidRDefault="00E23E88" w:rsidP="00E23175">
      <w:pPr>
        <w:pStyle w:val="ListParagraph"/>
        <w:numPr>
          <w:ilvl w:val="0"/>
          <w:numId w:val="21"/>
        </w:numPr>
      </w:pPr>
      <w:r>
        <w:t>A vehicle may be rented at customary rates if determined to be the best transportation alternative.</w:t>
      </w:r>
    </w:p>
    <w:p w14:paraId="55790ADD" w14:textId="77777777" w:rsidR="00E23E88" w:rsidRDefault="00E23E88" w:rsidP="00E23E88">
      <w:pPr>
        <w:pStyle w:val="ListParagraph"/>
      </w:pPr>
    </w:p>
    <w:p w14:paraId="770D54BF" w14:textId="77777777" w:rsidR="00E23E88" w:rsidRDefault="00E23E88" w:rsidP="00E23E88">
      <w:pPr>
        <w:pStyle w:val="ListParagraph"/>
      </w:pPr>
    </w:p>
    <w:p w14:paraId="2E7D9DBD" w14:textId="5DE4F873" w:rsidR="00E23E88" w:rsidRDefault="00E23E88" w:rsidP="00E23175">
      <w:pPr>
        <w:pStyle w:val="ListParagraph"/>
        <w:numPr>
          <w:ilvl w:val="0"/>
          <w:numId w:val="21"/>
        </w:numPr>
      </w:pPr>
      <w:r>
        <w:lastRenderedPageBreak/>
        <w:t>Vehicle registration and insurance for up to a year may be provided; vehicle maintenance/repair up to $1,000 for life of case may be provided if determined to be the most cost-effective alternative given the individual’s living situation and vocational rehabilitation needs.</w:t>
      </w:r>
    </w:p>
    <w:p w14:paraId="341C3140" w14:textId="77777777" w:rsidR="00C1512D" w:rsidRDefault="00C1512D" w:rsidP="00C1512D">
      <w:pPr>
        <w:pStyle w:val="ListParagraph"/>
      </w:pPr>
    </w:p>
    <w:p w14:paraId="382C6871" w14:textId="6576B1A1" w:rsidR="00E23E88" w:rsidRDefault="00E23E88" w:rsidP="00E23175">
      <w:pPr>
        <w:pStyle w:val="ListParagraph"/>
        <w:numPr>
          <w:ilvl w:val="0"/>
          <w:numId w:val="21"/>
        </w:numPr>
      </w:pPr>
      <w:r>
        <w:t xml:space="preserve">DBVI will not normally participate in the purchase of automobiles, </w:t>
      </w:r>
      <w:proofErr w:type="gramStart"/>
      <w:r>
        <w:t>trucks</w:t>
      </w:r>
      <w:proofErr w:type="gramEnd"/>
      <w:r>
        <w:t xml:space="preserve"> or vans, but may provide adaptations to vehicles which are required by disability(</w:t>
      </w:r>
      <w:proofErr w:type="spellStart"/>
      <w:r>
        <w:t>ies</w:t>
      </w:r>
      <w:proofErr w:type="spellEnd"/>
      <w:r>
        <w:t>) in accordance with rules established by the State Division of Purchasing.</w:t>
      </w:r>
    </w:p>
    <w:p w14:paraId="20ADA421" w14:textId="31B6B92A" w:rsidR="008F6C12" w:rsidRDefault="008F6C12" w:rsidP="008F6C12"/>
    <w:p w14:paraId="49EA5A19" w14:textId="77777777" w:rsidR="008F6C12" w:rsidRPr="008F6C12" w:rsidRDefault="008F6C12" w:rsidP="008F6C12"/>
    <w:sectPr w:rsidR="008F6C12" w:rsidRPr="008F6C12"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4EB24B96" w:rsidR="00BE3882" w:rsidRDefault="0039769D" w:rsidP="00E66FFC">
    <w:pPr>
      <w:pStyle w:val="Header"/>
    </w:pPr>
    <w:fldSimple w:instr=" REF  ChapterNumber  \* MERGEFORMAT ">
      <w:r w:rsidR="00757698" w:rsidRPr="00217CE9">
        <w:t>Chapter</w:t>
      </w:r>
      <w:r w:rsidR="00A9393E">
        <w:t xml:space="preserve"> 8</w:t>
      </w:r>
      <w:r w:rsidR="00757698">
        <w:t>:</w:t>
      </w:r>
    </w:fldSimple>
    <w:r w:rsidR="00BE3882">
      <w:t xml:space="preserve"> </w:t>
    </w:r>
    <w:r w:rsidR="00A9393E">
      <w:t>Transportation</w:t>
    </w:r>
  </w:p>
  <w:p w14:paraId="3BAE870B" w14:textId="0ED51BB0"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A9393E">
      <w:t>July</w:t>
    </w:r>
    <w:r w:rsidR="00A34A37">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AB4DD4"/>
    <w:multiLevelType w:val="hybridMultilevel"/>
    <w:tmpl w:val="FF34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2BAC0E7C"/>
    <w:multiLevelType w:val="hybridMultilevel"/>
    <w:tmpl w:val="DF5C7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0DE2"/>
    <w:multiLevelType w:val="multilevel"/>
    <w:tmpl w:val="58E6F87E"/>
    <w:numStyleLink w:val="PolicyList"/>
  </w:abstractNum>
  <w:abstractNum w:abstractNumId="11"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02D60"/>
    <w:multiLevelType w:val="hybridMultilevel"/>
    <w:tmpl w:val="0082F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5"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93F5D03"/>
    <w:multiLevelType w:val="hybridMultilevel"/>
    <w:tmpl w:val="3034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0"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9"/>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 w:numId="10">
    <w:abstractNumId w:val="16"/>
  </w:num>
  <w:num w:numId="11">
    <w:abstractNumId w:val="20"/>
  </w:num>
  <w:num w:numId="12">
    <w:abstractNumId w:val="15"/>
  </w:num>
  <w:num w:numId="13">
    <w:abstractNumId w:val="18"/>
  </w:num>
  <w:num w:numId="14">
    <w:abstractNumId w:val="10"/>
  </w:num>
  <w:num w:numId="15">
    <w:abstractNumId w:val="11"/>
  </w:num>
  <w:num w:numId="16">
    <w:abstractNumId w:val="6"/>
  </w:num>
  <w:num w:numId="17">
    <w:abstractNumId w:val="13"/>
  </w:num>
  <w:num w:numId="18">
    <w:abstractNumId w:val="7"/>
  </w:num>
  <w:num w:numId="19">
    <w:abstractNumId w:val="17"/>
  </w:num>
  <w:num w:numId="20">
    <w:abstractNumId w:val="12"/>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70A04"/>
    <w:rsid w:val="00070FC8"/>
    <w:rsid w:val="00082EE2"/>
    <w:rsid w:val="00090CCC"/>
    <w:rsid w:val="000D3BC7"/>
    <w:rsid w:val="000D63E3"/>
    <w:rsid w:val="000E5EAD"/>
    <w:rsid w:val="000F4A20"/>
    <w:rsid w:val="00121F48"/>
    <w:rsid w:val="00152EFC"/>
    <w:rsid w:val="00171F93"/>
    <w:rsid w:val="0018485A"/>
    <w:rsid w:val="001A08C2"/>
    <w:rsid w:val="001A20BB"/>
    <w:rsid w:val="001A6448"/>
    <w:rsid w:val="001C35CC"/>
    <w:rsid w:val="001C6270"/>
    <w:rsid w:val="001D14BC"/>
    <w:rsid w:val="001D682B"/>
    <w:rsid w:val="001E03E3"/>
    <w:rsid w:val="001F146C"/>
    <w:rsid w:val="001F20E4"/>
    <w:rsid w:val="001F5784"/>
    <w:rsid w:val="00200D4D"/>
    <w:rsid w:val="002017E7"/>
    <w:rsid w:val="00217CE9"/>
    <w:rsid w:val="00256244"/>
    <w:rsid w:val="002671FD"/>
    <w:rsid w:val="0027370E"/>
    <w:rsid w:val="002850DC"/>
    <w:rsid w:val="003076AD"/>
    <w:rsid w:val="00307822"/>
    <w:rsid w:val="00311862"/>
    <w:rsid w:val="0032251B"/>
    <w:rsid w:val="00334DFD"/>
    <w:rsid w:val="00340C6E"/>
    <w:rsid w:val="0036205E"/>
    <w:rsid w:val="0037675D"/>
    <w:rsid w:val="00382BBF"/>
    <w:rsid w:val="00383F81"/>
    <w:rsid w:val="00390203"/>
    <w:rsid w:val="00396789"/>
    <w:rsid w:val="0039769D"/>
    <w:rsid w:val="003C2CE1"/>
    <w:rsid w:val="003D0B28"/>
    <w:rsid w:val="003D723C"/>
    <w:rsid w:val="003E78CD"/>
    <w:rsid w:val="003F229D"/>
    <w:rsid w:val="004157DC"/>
    <w:rsid w:val="00444D16"/>
    <w:rsid w:val="00472CC3"/>
    <w:rsid w:val="004761E0"/>
    <w:rsid w:val="004877F3"/>
    <w:rsid w:val="00497E1E"/>
    <w:rsid w:val="004A3856"/>
    <w:rsid w:val="004A586E"/>
    <w:rsid w:val="004A777D"/>
    <w:rsid w:val="004B75E2"/>
    <w:rsid w:val="004C2984"/>
    <w:rsid w:val="004C747C"/>
    <w:rsid w:val="004E33B5"/>
    <w:rsid w:val="004E766E"/>
    <w:rsid w:val="00523947"/>
    <w:rsid w:val="00531CA5"/>
    <w:rsid w:val="00542BBB"/>
    <w:rsid w:val="00543296"/>
    <w:rsid w:val="00550F23"/>
    <w:rsid w:val="0059376F"/>
    <w:rsid w:val="005A1313"/>
    <w:rsid w:val="005A754A"/>
    <w:rsid w:val="005B619C"/>
    <w:rsid w:val="005C7B76"/>
    <w:rsid w:val="005D576B"/>
    <w:rsid w:val="005E087B"/>
    <w:rsid w:val="006202DD"/>
    <w:rsid w:val="00620C10"/>
    <w:rsid w:val="006310BF"/>
    <w:rsid w:val="006417F4"/>
    <w:rsid w:val="00643C4C"/>
    <w:rsid w:val="00660DFA"/>
    <w:rsid w:val="0066230F"/>
    <w:rsid w:val="00677F3C"/>
    <w:rsid w:val="006800DC"/>
    <w:rsid w:val="00690660"/>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738D2"/>
    <w:rsid w:val="00776F82"/>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474D9"/>
    <w:rsid w:val="00854747"/>
    <w:rsid w:val="00867EEB"/>
    <w:rsid w:val="00882762"/>
    <w:rsid w:val="008A34F5"/>
    <w:rsid w:val="008A481F"/>
    <w:rsid w:val="008C52B4"/>
    <w:rsid w:val="008D124B"/>
    <w:rsid w:val="008D4379"/>
    <w:rsid w:val="008D67E8"/>
    <w:rsid w:val="008D6AD9"/>
    <w:rsid w:val="008F4D6B"/>
    <w:rsid w:val="008F6C12"/>
    <w:rsid w:val="00911281"/>
    <w:rsid w:val="00915CA6"/>
    <w:rsid w:val="00916D2A"/>
    <w:rsid w:val="00917941"/>
    <w:rsid w:val="00923F84"/>
    <w:rsid w:val="00934A08"/>
    <w:rsid w:val="00955689"/>
    <w:rsid w:val="00984B15"/>
    <w:rsid w:val="009B0986"/>
    <w:rsid w:val="009D2F48"/>
    <w:rsid w:val="00A01FF8"/>
    <w:rsid w:val="00A32ABB"/>
    <w:rsid w:val="00A34A37"/>
    <w:rsid w:val="00A36337"/>
    <w:rsid w:val="00A4297C"/>
    <w:rsid w:val="00A62B1D"/>
    <w:rsid w:val="00A65035"/>
    <w:rsid w:val="00A67426"/>
    <w:rsid w:val="00A86178"/>
    <w:rsid w:val="00A9393E"/>
    <w:rsid w:val="00AA54D2"/>
    <w:rsid w:val="00AA74B7"/>
    <w:rsid w:val="00AD204A"/>
    <w:rsid w:val="00B04D4C"/>
    <w:rsid w:val="00B07D50"/>
    <w:rsid w:val="00B20CDA"/>
    <w:rsid w:val="00B30C70"/>
    <w:rsid w:val="00B326E1"/>
    <w:rsid w:val="00B726A5"/>
    <w:rsid w:val="00B73DB4"/>
    <w:rsid w:val="00B847F0"/>
    <w:rsid w:val="00B85871"/>
    <w:rsid w:val="00B86EE0"/>
    <w:rsid w:val="00BA3500"/>
    <w:rsid w:val="00BA5FCC"/>
    <w:rsid w:val="00BC5122"/>
    <w:rsid w:val="00BE1D28"/>
    <w:rsid w:val="00BE3882"/>
    <w:rsid w:val="00BF5AFE"/>
    <w:rsid w:val="00C03088"/>
    <w:rsid w:val="00C1512D"/>
    <w:rsid w:val="00C26C69"/>
    <w:rsid w:val="00C431F4"/>
    <w:rsid w:val="00C66FD6"/>
    <w:rsid w:val="00C67F83"/>
    <w:rsid w:val="00C87F89"/>
    <w:rsid w:val="00CB0218"/>
    <w:rsid w:val="00CB1695"/>
    <w:rsid w:val="00CB58A9"/>
    <w:rsid w:val="00CC6127"/>
    <w:rsid w:val="00CE2A80"/>
    <w:rsid w:val="00CF635B"/>
    <w:rsid w:val="00D155D2"/>
    <w:rsid w:val="00D4380D"/>
    <w:rsid w:val="00D468DC"/>
    <w:rsid w:val="00D90577"/>
    <w:rsid w:val="00D9591F"/>
    <w:rsid w:val="00DA5C8E"/>
    <w:rsid w:val="00DC5C4B"/>
    <w:rsid w:val="00DD0542"/>
    <w:rsid w:val="00DE4A95"/>
    <w:rsid w:val="00DE55DC"/>
    <w:rsid w:val="00E05D7F"/>
    <w:rsid w:val="00E10D38"/>
    <w:rsid w:val="00E1247A"/>
    <w:rsid w:val="00E17BCD"/>
    <w:rsid w:val="00E20101"/>
    <w:rsid w:val="00E23175"/>
    <w:rsid w:val="00E23E88"/>
    <w:rsid w:val="00E44E05"/>
    <w:rsid w:val="00E61D7C"/>
    <w:rsid w:val="00E66FFC"/>
    <w:rsid w:val="00E841C3"/>
    <w:rsid w:val="00E92F91"/>
    <w:rsid w:val="00E93B04"/>
    <w:rsid w:val="00EB2056"/>
    <w:rsid w:val="00EB2145"/>
    <w:rsid w:val="00EB3F9F"/>
    <w:rsid w:val="00EB679D"/>
    <w:rsid w:val="00EC64AA"/>
    <w:rsid w:val="00EE4DF7"/>
    <w:rsid w:val="00EE6E8A"/>
    <w:rsid w:val="00EF2A73"/>
    <w:rsid w:val="00F03DA5"/>
    <w:rsid w:val="00F041B5"/>
    <w:rsid w:val="00F24F2D"/>
    <w:rsid w:val="00F313BE"/>
    <w:rsid w:val="00F36245"/>
    <w:rsid w:val="00F3763A"/>
    <w:rsid w:val="00F6553C"/>
    <w:rsid w:val="00F70DA8"/>
    <w:rsid w:val="00F733E6"/>
    <w:rsid w:val="00F861E5"/>
    <w:rsid w:val="00F907EB"/>
    <w:rsid w:val="00F91989"/>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9</cp:revision>
  <cp:lastPrinted>2018-01-30T20:42:00Z</cp:lastPrinted>
  <dcterms:created xsi:type="dcterms:W3CDTF">2020-07-09T15:56:00Z</dcterms:created>
  <dcterms:modified xsi:type="dcterms:W3CDTF">2020-07-21T18:00:00Z</dcterms:modified>
</cp:coreProperties>
</file>